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5">
      <w:pPr>
        <w:ind w:left="-142"/>
        <w:jc w:val="center"/>
        <w:rPr>
          <w:b/>
          <w:bCs/>
          <w:szCs w:val="24"/>
        </w:rPr>
      </w:pPr>
      <w:r>
        <w:rPr>
          <w:b/>
          <w:bCs/>
          <w:szCs w:val="24"/>
        </w:rPr>
        <w:t>МИНИСТЕРСТВО НАУКИ И ВЫСШЕГО ОБРАЗОВАНИЯ РОССИЙСКОЙ ФЕДЕРАЦИИ</w:t>
      </w:r>
    </w:p>
    <w:p w14:paraId="00000006">
      <w:pPr>
        <w:ind w:left="-142"/>
        <w:jc w:val="center"/>
        <w:rPr>
          <w:b/>
          <w:bCs/>
          <w:szCs w:val="24"/>
        </w:rPr>
      </w:pPr>
      <w:r>
        <w:rPr>
          <w:b/>
          <w:bCs/>
          <w:szCs w:val="24"/>
        </w:rPr>
        <w:t>федеральное государственное автономное образовательное учреждение высшего образования</w:t>
      </w:r>
    </w:p>
    <w:p w14:paraId="00000007">
      <w:pPr>
        <w:ind w:left="-567" w:firstLine="425"/>
        <w:jc w:val="center"/>
        <w:rPr>
          <w:b/>
          <w:bCs/>
          <w:szCs w:val="24"/>
        </w:rPr>
      </w:pPr>
      <w:r>
        <w:rPr>
          <w:b/>
          <w:bCs/>
          <w:szCs w:val="24"/>
        </w:rPr>
        <w:t xml:space="preserve">«Национальный исследовательский Нижегородский государственный университет </w:t>
      </w:r>
      <w:r>
        <w:rPr>
          <w:b/>
          <w:bCs/>
          <w:szCs w:val="24"/>
        </w:rPr>
        <w:br w:type="textWrapping"/>
      </w:r>
      <w:r>
        <w:rPr>
          <w:b/>
          <w:bCs/>
          <w:szCs w:val="24"/>
        </w:rPr>
        <w:t>им. Н.И. Лобачевского»</w:t>
      </w:r>
    </w:p>
    <w:p w14:paraId="00000008">
      <w:pPr>
        <w:ind w:firstLine="400"/>
        <w:jc w:val="center"/>
        <w:rPr>
          <w:b/>
          <w:bCs/>
          <w:szCs w:val="24"/>
        </w:rPr>
      </w:pPr>
    </w:p>
    <w:p w14:paraId="00000009">
      <w:pPr>
        <w:pStyle w:val="ListParagraph"/>
        <w:widowControl w:val="off"/>
        <w:shd w:val="clear" w:color="auto" w:fill="ffffff"/>
        <w:tabs>
          <w:tab w:val="num" w:pos="-142"/>
          <w:tab w:val="num" w:pos="0"/>
        </w:tabs>
        <w:ind w:left="142" w:hanging="709"/>
        <w:jc w:val="center"/>
        <w:rPr>
          <w:rFonts w:ascii="Times New Roman" w:cs="Times New Roman" w:hAnsi="Times New Roman"/>
          <w:sz w:val="24"/>
          <w:szCs w:val="24"/>
          <w:u w:val="single"/>
        </w:rPr>
      </w:pPr>
      <w:r>
        <w:rPr>
          <w:rFonts w:ascii="Times New Roman" w:cs="Times New Roman" w:hAnsi="Times New Roman"/>
          <w:sz w:val="24"/>
          <w:szCs w:val="24"/>
          <w:u w:val="single"/>
        </w:rPr>
        <w:t>Юридический факультет</w:t>
      </w:r>
    </w:p>
    <w:p w14:paraId="0000000A">
      <w:pPr>
        <w:pStyle w:val="ListParagraph"/>
        <w:widowControl w:val="off"/>
        <w:shd w:val="clear" w:color="auto" w:fill="ffffff"/>
        <w:tabs>
          <w:tab w:val="num" w:pos="-142"/>
          <w:tab w:val="num" w:pos="0"/>
        </w:tabs>
        <w:ind w:left="142" w:hanging="709"/>
        <w:jc w:val="center"/>
        <w:rPr>
          <w:rFonts w:ascii="Times New Roman" w:cs="Times New Roman" w:hAnsi="Times New Roman"/>
          <w:sz w:val="24"/>
          <w:szCs w:val="24"/>
        </w:rPr>
      </w:pPr>
      <w:r>
        <w:rPr>
          <w:rFonts w:ascii="Times New Roman" w:cs="Times New Roman" w:hAnsi="Times New Roman"/>
          <w:sz w:val="24"/>
          <w:szCs w:val="24"/>
        </w:rPr>
        <w:t>Факультет/Институт/Филиал</w:t>
      </w:r>
    </w:p>
    <w:p w14:paraId="0000000B">
      <w:pPr>
        <w:ind w:firstLine="400"/>
        <w:jc w:val="center"/>
        <w:rPr>
          <w:b/>
          <w:bCs/>
          <w:szCs w:val="24"/>
        </w:rPr>
      </w:pPr>
    </w:p>
    <w:p w14:paraId="0000000C">
      <w:pPr>
        <w:shd w:val="clear" w:color="auto" w:fill="ffffff"/>
        <w:jc w:val="center"/>
        <w:rPr>
          <w:i/>
          <w:iCs/>
          <w:szCs w:val="24"/>
        </w:rPr>
      </w:pPr>
    </w:p>
    <w:p w14:paraId="0000000D">
      <w:pPr>
        <w:ind w:firstLine="400"/>
        <w:jc w:val="center"/>
        <w:rPr>
          <w:b/>
          <w:bCs/>
          <w:szCs w:val="24"/>
        </w:rPr>
      </w:pPr>
    </w:p>
    <w:p w14:paraId="0000000E">
      <w:pPr>
        <w:ind w:left="5880"/>
        <w:jc w:val="right"/>
        <w:rPr>
          <w:b/>
          <w:bCs/>
          <w:szCs w:val="24"/>
        </w:rPr>
      </w:pPr>
      <w:r>
        <w:rPr>
          <w:b/>
          <w:bCs/>
          <w:szCs w:val="24"/>
        </w:rPr>
        <w:t>УТВЕРЖДЕНО</w:t>
      </w:r>
    </w:p>
    <w:p w14:paraId="0000000F">
      <w:pPr>
        <w:ind w:left="5880"/>
        <w:jc w:val="right"/>
        <w:rPr>
          <w:b/>
          <w:bCs/>
          <w:szCs w:val="24"/>
        </w:rPr>
      </w:pPr>
      <w:r>
        <w:rPr>
          <w:b/>
          <w:bCs/>
          <w:szCs w:val="24"/>
        </w:rPr>
        <w:t>решением ученого совета ННГУ</w:t>
      </w:r>
    </w:p>
    <w:p w14:paraId="00000010">
      <w:pPr>
        <w:ind w:left="5880"/>
        <w:jc w:val="right"/>
        <w:rPr>
          <w:b/>
          <w:bCs/>
          <w:szCs w:val="24"/>
        </w:rPr>
      </w:pPr>
      <w:r>
        <w:rPr>
          <w:b/>
          <w:bCs/>
          <w:szCs w:val="24"/>
        </w:rPr>
        <w:t xml:space="preserve">протокол </w:t>
      </w:r>
      <w:r>
        <w:rPr>
          <w:b/>
          <w:bCs/>
          <w:szCs w:val="24"/>
          <w:highlight w:val="none"/>
        </w:rPr>
        <w:t>от «28» ма</w:t>
      </w:r>
      <w:r>
        <w:rPr>
          <w:b/>
          <w:bCs/>
          <w:szCs w:val="24"/>
          <w:highlight w:val="none"/>
        </w:rPr>
        <w:t>я  2025</w:t>
      </w:r>
      <w:r>
        <w:rPr>
          <w:b/>
          <w:bCs/>
          <w:szCs w:val="24"/>
          <w:highlight w:val="none"/>
        </w:rPr>
        <w:t xml:space="preserve"> г.  № 7</w:t>
      </w:r>
    </w:p>
    <w:p w14:paraId="00000011">
      <w:pPr>
        <w:tabs>
          <w:tab w:val="left" w:pos="142"/>
        </w:tabs>
        <w:ind w:firstLine="400"/>
        <w:jc w:val="center"/>
        <w:rPr>
          <w:b/>
          <w:bCs/>
          <w:szCs w:val="24"/>
        </w:rPr>
      </w:pPr>
    </w:p>
    <w:p w14:paraId="00000012">
      <w:pPr>
        <w:tabs>
          <w:tab w:val="left" w:pos="142"/>
          <w:tab w:val="left" w:pos="5670"/>
        </w:tabs>
        <w:jc w:val="center"/>
        <w:rPr>
          <w:b/>
          <w:bCs/>
          <w:szCs w:val="24"/>
        </w:rPr>
      </w:pPr>
    </w:p>
    <w:p w14:paraId="00000013">
      <w:pPr>
        <w:tabs>
          <w:tab w:val="left" w:pos="142"/>
        </w:tabs>
        <w:ind w:firstLine="400"/>
        <w:jc w:val="center"/>
        <w:rPr>
          <w:szCs w:val="24"/>
        </w:rPr>
      </w:pPr>
    </w:p>
    <w:p w14:paraId="00000014">
      <w:pPr>
        <w:tabs>
          <w:tab w:val="left" w:pos="142"/>
        </w:tabs>
        <w:ind w:firstLine="400"/>
        <w:jc w:val="center"/>
        <w:rPr>
          <w:szCs w:val="24"/>
        </w:rPr>
      </w:pPr>
    </w:p>
    <w:p w14:paraId="00000015">
      <w:pPr>
        <w:tabs>
          <w:tab w:val="left" w:pos="142"/>
        </w:tabs>
        <w:ind w:firstLine="400"/>
        <w:jc w:val="center"/>
        <w:rPr>
          <w:szCs w:val="24"/>
        </w:rPr>
      </w:pPr>
    </w:p>
    <w:p w14:paraId="00000016">
      <w:pPr>
        <w:tabs>
          <w:tab w:val="left" w:pos="142"/>
        </w:tabs>
        <w:ind w:firstLine="400"/>
        <w:jc w:val="center"/>
        <w:rPr>
          <w:szCs w:val="24"/>
        </w:rPr>
      </w:pPr>
      <w:r>
        <w:rPr>
          <w:szCs w:val="24"/>
        </w:rPr>
        <w:t>Рабочая программа учебной дисциплины</w:t>
      </w:r>
    </w:p>
    <w:p w14:paraId="00000017">
      <w:pPr>
        <w:tabs>
          <w:tab w:val="left" w:pos="142"/>
        </w:tabs>
        <w:ind w:firstLine="400"/>
        <w:jc w:val="center"/>
        <w:rPr>
          <w:b/>
          <w:bCs/>
          <w:szCs w:val="24"/>
        </w:rPr>
      </w:pPr>
    </w:p>
    <w:p w14:paraId="00000018">
      <w:pPr>
        <w:jc w:val="center"/>
        <w:rPr>
          <w:rFonts w:eastAsia="Calibri"/>
          <w:b/>
          <w:i/>
          <w:szCs w:val="24"/>
          <w:u w:val="single"/>
        </w:rPr>
      </w:pPr>
      <w:r>
        <w:rPr>
          <w:rFonts w:eastAsia="Calibri"/>
          <w:b/>
          <w:i/>
          <w:szCs w:val="24"/>
          <w:u w:val="single"/>
        </w:rPr>
        <w:t>Этика и психология в профессиональной деятельности</w:t>
      </w:r>
    </w:p>
    <w:p w14:paraId="00000019">
      <w:pPr>
        <w:tabs>
          <w:tab w:val="left" w:pos="142"/>
        </w:tabs>
        <w:ind w:firstLine="400"/>
        <w:jc w:val="center"/>
        <w:rPr>
          <w:szCs w:val="24"/>
          <w:u w:val="single"/>
        </w:rPr>
      </w:pPr>
    </w:p>
    <w:p w14:paraId="0000001A">
      <w:pPr>
        <w:tabs>
          <w:tab w:val="left" w:pos="142"/>
        </w:tabs>
        <w:ind w:firstLine="400"/>
        <w:jc w:val="center"/>
        <w:rPr>
          <w:b/>
          <w:bCs/>
          <w:szCs w:val="24"/>
        </w:rPr>
      </w:pPr>
      <w:r>
        <w:rPr>
          <w:b/>
          <w:bCs/>
          <w:szCs w:val="24"/>
        </w:rPr>
        <w:t>(наименование дисциплины)</w:t>
      </w:r>
    </w:p>
    <w:p w14:paraId="0000001B">
      <w:pPr>
        <w:tabs>
          <w:tab w:val="left" w:pos="142"/>
        </w:tabs>
        <w:ind w:firstLine="400"/>
        <w:jc w:val="center"/>
        <w:rPr>
          <w:b/>
          <w:bCs/>
          <w:szCs w:val="24"/>
        </w:rPr>
      </w:pPr>
    </w:p>
    <w:p w14:paraId="0000001C">
      <w:pPr>
        <w:tabs>
          <w:tab w:val="left" w:pos="142"/>
        </w:tabs>
        <w:ind w:firstLine="400"/>
        <w:jc w:val="center"/>
        <w:rPr>
          <w:b/>
          <w:bCs/>
          <w:szCs w:val="24"/>
        </w:rPr>
      </w:pPr>
    </w:p>
    <w:p w14:paraId="0000001D">
      <w:pPr>
        <w:tabs>
          <w:tab w:val="left" w:pos="142"/>
        </w:tabs>
        <w:ind w:firstLine="400"/>
        <w:jc w:val="center"/>
        <w:rPr>
          <w:b/>
          <w:bCs/>
          <w:szCs w:val="24"/>
        </w:rPr>
      </w:pPr>
    </w:p>
    <w:p w14:paraId="0000001E">
      <w:pPr>
        <w:tabs>
          <w:tab w:val="left" w:pos="142"/>
        </w:tabs>
        <w:ind w:firstLine="400"/>
        <w:jc w:val="center"/>
        <w:rPr>
          <w:szCs w:val="24"/>
        </w:rPr>
      </w:pPr>
      <w:r>
        <w:rPr>
          <w:szCs w:val="24"/>
        </w:rPr>
        <w:t>Специальность среднего профессионального образования</w:t>
      </w:r>
    </w:p>
    <w:p w14:paraId="0000001F">
      <w:pPr>
        <w:tabs>
          <w:tab w:val="left" w:pos="142"/>
        </w:tabs>
        <w:ind w:firstLine="400"/>
        <w:jc w:val="center"/>
        <w:rPr>
          <w:szCs w:val="24"/>
        </w:rPr>
      </w:pPr>
    </w:p>
    <w:p w14:paraId="00000020">
      <w:pPr>
        <w:tabs>
          <w:tab w:val="left" w:pos="6766"/>
        </w:tabs>
        <w:ind w:left="-1739" w:right="-2264"/>
        <w:jc w:val="center"/>
        <w:rPr>
          <w:rFonts w:eastAsia="Calibri"/>
          <w:b/>
          <w:i/>
          <w:szCs w:val="24"/>
          <w:u w:val="single"/>
        </w:rPr>
      </w:pPr>
      <w:r>
        <w:rPr>
          <w:rFonts w:eastAsia="Calibri"/>
          <w:b/>
          <w:i/>
          <w:szCs w:val="24"/>
          <w:u w:val="single"/>
        </w:rPr>
        <w:t>40.02.02 Правоохранительная деятельность</w:t>
      </w:r>
    </w:p>
    <w:p w14:paraId="00000021">
      <w:pPr>
        <w:tabs>
          <w:tab w:val="left" w:pos="6766"/>
        </w:tabs>
        <w:ind w:left="-1739" w:right="-2264"/>
        <w:jc w:val="center"/>
        <w:rPr>
          <w:rFonts w:eastAsia="Calibri"/>
          <w:b/>
          <w:i/>
          <w:szCs w:val="24"/>
          <w:u w:val="single"/>
        </w:rPr>
      </w:pPr>
    </w:p>
    <w:p w14:paraId="00000022">
      <w:pPr>
        <w:tabs>
          <w:tab w:val="left" w:pos="142"/>
        </w:tabs>
        <w:ind w:firstLine="400"/>
        <w:jc w:val="center"/>
        <w:rPr>
          <w:b/>
          <w:bCs/>
          <w:szCs w:val="24"/>
        </w:rPr>
      </w:pPr>
      <w:r>
        <w:rPr>
          <w:b/>
          <w:bCs/>
          <w:szCs w:val="24"/>
        </w:rPr>
        <w:t xml:space="preserve"> (указывается код и наименование специальности)</w:t>
      </w:r>
    </w:p>
    <w:p w14:paraId="00000023">
      <w:pPr>
        <w:tabs>
          <w:tab w:val="left" w:pos="142"/>
        </w:tabs>
        <w:jc w:val="center"/>
        <w:rPr>
          <w:b/>
          <w:bCs/>
          <w:szCs w:val="24"/>
        </w:rPr>
      </w:pPr>
    </w:p>
    <w:p w14:paraId="00000024">
      <w:pPr>
        <w:tabs>
          <w:tab w:val="left" w:pos="142"/>
        </w:tabs>
        <w:ind w:firstLine="400"/>
        <w:jc w:val="center"/>
        <w:rPr>
          <w:szCs w:val="24"/>
        </w:rPr>
      </w:pPr>
      <w:r>
        <w:rPr>
          <w:szCs w:val="24"/>
        </w:rPr>
        <w:t>Квалификация выпускника</w:t>
      </w:r>
    </w:p>
    <w:p w14:paraId="00000025">
      <w:pPr>
        <w:tabs>
          <w:tab w:val="left" w:pos="142"/>
        </w:tabs>
        <w:ind w:firstLine="400"/>
        <w:jc w:val="center"/>
        <w:rPr>
          <w:szCs w:val="24"/>
        </w:rPr>
      </w:pPr>
    </w:p>
    <w:p w14:paraId="00000026">
      <w:pPr>
        <w:tabs>
          <w:tab w:val="left" w:pos="142"/>
        </w:tabs>
        <w:ind w:firstLine="400"/>
        <w:jc w:val="center"/>
        <w:rPr>
          <w:b/>
          <w:bCs/>
          <w:szCs w:val="24"/>
          <w:u w:val="single"/>
        </w:rPr>
      </w:pPr>
      <w:r>
        <w:rPr>
          <w:b/>
          <w:bCs/>
          <w:szCs w:val="24"/>
          <w:u w:val="single"/>
        </w:rPr>
        <w:t>юрист</w:t>
      </w:r>
    </w:p>
    <w:p w14:paraId="00000027">
      <w:pPr>
        <w:tabs>
          <w:tab w:val="left" w:pos="142"/>
        </w:tabs>
        <w:ind w:firstLine="400"/>
        <w:jc w:val="center"/>
        <w:rPr>
          <w:b/>
          <w:bCs/>
          <w:szCs w:val="24"/>
        </w:rPr>
      </w:pPr>
    </w:p>
    <w:p w14:paraId="00000028">
      <w:pPr>
        <w:tabs>
          <w:tab w:val="left" w:pos="142"/>
        </w:tabs>
        <w:ind w:firstLine="400"/>
        <w:jc w:val="center"/>
        <w:rPr>
          <w:szCs w:val="24"/>
        </w:rPr>
      </w:pPr>
      <w:r>
        <w:rPr>
          <w:szCs w:val="24"/>
        </w:rPr>
        <w:t>Форма обучения</w:t>
      </w:r>
    </w:p>
    <w:p w14:paraId="00000029">
      <w:pPr>
        <w:tabs>
          <w:tab w:val="left" w:pos="142"/>
        </w:tabs>
        <w:ind w:firstLine="400"/>
        <w:jc w:val="center"/>
        <w:rPr>
          <w:b/>
          <w:bCs/>
          <w:szCs w:val="24"/>
        </w:rPr>
      </w:pPr>
    </w:p>
    <w:p w14:paraId="0000002A">
      <w:pPr>
        <w:tabs>
          <w:tab w:val="left" w:pos="142"/>
        </w:tabs>
        <w:ind w:firstLine="400"/>
        <w:jc w:val="center"/>
        <w:rPr>
          <w:szCs w:val="24"/>
          <w:u w:val="single"/>
        </w:rPr>
      </w:pPr>
      <w:r>
        <w:rPr>
          <w:szCs w:val="24"/>
          <w:u w:val="single"/>
        </w:rPr>
        <w:t>очная</w:t>
      </w:r>
    </w:p>
    <w:p w14:paraId="0000002B">
      <w:pPr>
        <w:tabs>
          <w:tab w:val="left" w:pos="142"/>
        </w:tabs>
        <w:ind w:firstLine="400"/>
        <w:jc w:val="center"/>
        <w:rPr>
          <w:b/>
          <w:bCs/>
          <w:szCs w:val="24"/>
        </w:rPr>
      </w:pPr>
    </w:p>
    <w:p w14:paraId="0000002C">
      <w:pPr>
        <w:tabs>
          <w:tab w:val="left" w:pos="142"/>
        </w:tabs>
        <w:ind w:firstLine="400"/>
        <w:jc w:val="center"/>
        <w:rPr>
          <w:b/>
          <w:bCs/>
          <w:szCs w:val="24"/>
        </w:rPr>
      </w:pPr>
    </w:p>
    <w:p w14:paraId="0000002D">
      <w:pPr>
        <w:tabs>
          <w:tab w:val="left" w:pos="142"/>
        </w:tabs>
        <w:ind w:firstLine="400"/>
        <w:jc w:val="center"/>
        <w:rPr>
          <w:b/>
          <w:bCs/>
          <w:szCs w:val="24"/>
        </w:rPr>
      </w:pPr>
    </w:p>
    <w:p w14:paraId="0000002E">
      <w:pPr>
        <w:tabs>
          <w:tab w:val="left" w:pos="142"/>
        </w:tabs>
        <w:ind w:firstLine="400"/>
        <w:jc w:val="center"/>
        <w:rPr>
          <w:b/>
          <w:bCs/>
          <w:szCs w:val="24"/>
        </w:rPr>
      </w:pPr>
    </w:p>
    <w:p w14:paraId="0000002F">
      <w:pPr>
        <w:tabs>
          <w:tab w:val="left" w:pos="142"/>
        </w:tabs>
        <w:ind w:firstLine="400"/>
        <w:jc w:val="center"/>
        <w:rPr>
          <w:b/>
          <w:bCs/>
          <w:szCs w:val="24"/>
        </w:rPr>
      </w:pPr>
    </w:p>
    <w:p w14:paraId="00000030">
      <w:pPr>
        <w:tabs>
          <w:tab w:val="left" w:pos="142"/>
        </w:tabs>
        <w:ind w:firstLine="400"/>
        <w:jc w:val="center"/>
        <w:rPr>
          <w:b/>
          <w:bCs/>
          <w:szCs w:val="24"/>
        </w:rPr>
      </w:pPr>
    </w:p>
    <w:p w14:paraId="00000031">
      <w:pPr>
        <w:tabs>
          <w:tab w:val="left" w:pos="142"/>
        </w:tabs>
        <w:ind w:firstLine="400"/>
        <w:jc w:val="center"/>
        <w:rPr>
          <w:b/>
          <w:bCs/>
          <w:szCs w:val="24"/>
        </w:rPr>
      </w:pPr>
    </w:p>
    <w:p w14:paraId="00000032">
      <w:pPr>
        <w:tabs>
          <w:tab w:val="left" w:pos="142"/>
        </w:tabs>
        <w:ind w:firstLine="400"/>
        <w:jc w:val="center"/>
        <w:rPr>
          <w:b/>
          <w:bCs/>
          <w:szCs w:val="24"/>
        </w:rPr>
      </w:pPr>
    </w:p>
    <w:p w14:paraId="00000033">
      <w:pPr>
        <w:tabs>
          <w:tab w:val="left" w:pos="142"/>
        </w:tabs>
        <w:ind w:firstLine="400"/>
        <w:jc w:val="center"/>
        <w:rPr>
          <w:b/>
          <w:bCs/>
          <w:szCs w:val="24"/>
        </w:rPr>
      </w:pPr>
      <w:r>
        <w:rPr>
          <w:b/>
          <w:bCs/>
          <w:szCs w:val="24"/>
        </w:rPr>
        <w:t>2024 год</w:t>
      </w:r>
    </w:p>
    <w:p w14:paraId="00000034">
      <w:pPr>
        <w:tabs>
          <w:tab w:val="left" w:pos="916"/>
          <w:tab w:val="left" w:pos="1832"/>
          <w:tab w:val="left" w:pos="2748"/>
          <w:tab w:val="left" w:pos="3664"/>
          <w:tab w:val="left" w:pos="4580"/>
          <w:tab w:val="left" w:pos="5496"/>
          <w:tab w:val="left" w:pos="6412"/>
          <w:tab w:val="left" w:pos="7328"/>
          <w:tab w:val="left" w:pos="8244"/>
          <w:tab w:val="left" w:pos="9160"/>
          <w:tab w:val="left" w:pos="9960"/>
          <w:tab w:val="left" w:pos="10992"/>
          <w:tab w:val="left" w:pos="11908"/>
          <w:tab w:val="left" w:pos="12824"/>
          <w:tab w:val="left" w:pos="13740"/>
          <w:tab w:val="left" w:pos="14656"/>
        </w:tabs>
        <w:ind w:right="245" w:firstLine="708"/>
        <w:jc w:val="both"/>
        <w:rPr>
          <w:bCs/>
          <w:szCs w:val="24"/>
        </w:rPr>
      </w:pPr>
      <w:r>
        <w:rPr>
          <w:bCs/>
          <w:szCs w:val="24"/>
        </w:rPr>
        <w:t xml:space="preserve">Программа учебной дисциплины составлена в соответствии с требованиями ФГОС СПО по специальности </w:t>
      </w:r>
      <w:r>
        <w:rPr>
          <w:bCs/>
          <w:szCs w:val="24"/>
          <w:u w:val="single"/>
        </w:rPr>
        <w:t>40.02.0</w:t>
      </w:r>
      <w:r>
        <w:rPr>
          <w:bCs/>
          <w:szCs w:val="24"/>
          <w:u w:val="single"/>
        </w:rPr>
        <w:t>2</w:t>
      </w:r>
      <w:r>
        <w:rPr>
          <w:bCs/>
          <w:szCs w:val="24"/>
          <w:u w:val="single"/>
        </w:rPr>
        <w:t xml:space="preserve"> </w:t>
      </w:r>
      <w:r>
        <w:rPr>
          <w:bCs/>
          <w:szCs w:val="24"/>
          <w:u w:val="single"/>
        </w:rPr>
        <w:t xml:space="preserve"> Правоохранительная</w:t>
      </w:r>
      <w:r>
        <w:rPr>
          <w:bCs/>
          <w:szCs w:val="24"/>
          <w:u w:val="single"/>
        </w:rPr>
        <w:t xml:space="preserve"> деятельность</w:t>
      </w:r>
    </w:p>
    <w:p w14:paraId="00000035">
      <w:pPr>
        <w:tabs>
          <w:tab w:val="left" w:pos="916"/>
          <w:tab w:val="left" w:pos="1832"/>
          <w:tab w:val="left" w:pos="2748"/>
          <w:tab w:val="left" w:pos="3664"/>
          <w:tab w:val="left" w:pos="4580"/>
          <w:tab w:val="left" w:pos="5496"/>
          <w:tab w:val="left" w:pos="6412"/>
          <w:tab w:val="left" w:pos="7328"/>
          <w:tab w:val="left" w:pos="8244"/>
          <w:tab w:val="left" w:pos="9160"/>
          <w:tab w:val="left" w:pos="9960"/>
          <w:tab w:val="left" w:pos="10992"/>
          <w:tab w:val="left" w:pos="11908"/>
          <w:tab w:val="left" w:pos="12824"/>
          <w:tab w:val="left" w:pos="13740"/>
          <w:tab w:val="left" w:pos="14656"/>
        </w:tabs>
        <w:ind w:right="245" w:firstLine="400"/>
        <w:rPr>
          <w:bCs/>
          <w:szCs w:val="24"/>
        </w:rPr>
      </w:pPr>
      <w:r>
        <w:rPr>
          <w:bCs/>
          <w:szCs w:val="24"/>
        </w:rPr>
        <w:t>код, наименование специальности</w:t>
      </w:r>
    </w:p>
    <w:p w14:paraId="00000036">
      <w:pPr>
        <w:tabs>
          <w:tab w:val="left" w:pos="916"/>
          <w:tab w:val="left" w:pos="1832"/>
          <w:tab w:val="left" w:pos="2748"/>
          <w:tab w:val="left" w:pos="3664"/>
          <w:tab w:val="left" w:pos="4580"/>
          <w:tab w:val="left" w:pos="5496"/>
          <w:tab w:val="left" w:pos="6412"/>
          <w:tab w:val="left" w:pos="7328"/>
          <w:tab w:val="left" w:pos="8244"/>
          <w:tab w:val="left" w:pos="9160"/>
          <w:tab w:val="left" w:pos="9960"/>
          <w:tab w:val="left" w:pos="10992"/>
          <w:tab w:val="left" w:pos="11908"/>
          <w:tab w:val="left" w:pos="12824"/>
          <w:tab w:val="left" w:pos="13740"/>
          <w:tab w:val="left" w:pos="14656"/>
        </w:tabs>
        <w:ind w:right="245" w:firstLine="720"/>
        <w:jc w:val="both"/>
        <w:rPr>
          <w:bCs/>
          <w:szCs w:val="24"/>
        </w:rPr>
      </w:pPr>
    </w:p>
    <w:p w14:paraId="00000037">
      <w:pPr>
        <w:tabs>
          <w:tab w:val="left" w:pos="916"/>
          <w:tab w:val="left" w:pos="1832"/>
          <w:tab w:val="left" w:pos="2748"/>
          <w:tab w:val="left" w:pos="3664"/>
          <w:tab w:val="left" w:pos="4580"/>
          <w:tab w:val="left" w:pos="5496"/>
          <w:tab w:val="left" w:pos="6412"/>
          <w:tab w:val="left" w:pos="7328"/>
          <w:tab w:val="left" w:pos="8244"/>
          <w:tab w:val="left" w:pos="9160"/>
          <w:tab w:val="left" w:pos="9960"/>
          <w:tab w:val="left" w:pos="10992"/>
          <w:tab w:val="left" w:pos="11908"/>
          <w:tab w:val="left" w:pos="12824"/>
          <w:tab w:val="left" w:pos="13740"/>
          <w:tab w:val="left" w:pos="14656"/>
        </w:tabs>
        <w:ind w:right="245" w:firstLine="709"/>
        <w:jc w:val="both"/>
        <w:rPr>
          <w:bCs/>
          <w:szCs w:val="24"/>
        </w:rPr>
      </w:pPr>
      <w:r>
        <w:rPr>
          <w:bCs/>
          <w:szCs w:val="24"/>
        </w:rPr>
        <w:t>Автор:</w:t>
      </w:r>
    </w:p>
    <w:p w14:paraId="00000038">
      <w:pPr>
        <w:tabs>
          <w:tab w:val="left" w:pos="916"/>
          <w:tab w:val="left" w:pos="1832"/>
          <w:tab w:val="left" w:pos="2748"/>
          <w:tab w:val="left" w:pos="3664"/>
          <w:tab w:val="left" w:pos="4580"/>
          <w:tab w:val="left" w:pos="5496"/>
          <w:tab w:val="left" w:pos="6412"/>
          <w:tab w:val="left" w:pos="7328"/>
          <w:tab w:val="left" w:pos="8244"/>
          <w:tab w:val="left" w:pos="9160"/>
          <w:tab w:val="left" w:pos="9960"/>
          <w:tab w:val="left" w:pos="10992"/>
          <w:tab w:val="left" w:pos="11908"/>
          <w:tab w:val="left" w:pos="12824"/>
          <w:tab w:val="left" w:pos="13740"/>
          <w:tab w:val="left" w:pos="14656"/>
        </w:tabs>
        <w:ind w:right="245" w:firstLine="400"/>
        <w:jc w:val="both"/>
        <w:rPr>
          <w:bCs/>
          <w:szCs w:val="24"/>
          <w:u w:val="single"/>
        </w:rPr>
      </w:pPr>
      <w:r>
        <w:rPr>
          <w:bCs/>
          <w:szCs w:val="24"/>
          <w:u w:val="single"/>
        </w:rPr>
        <w:t xml:space="preserve">Преподаватель отделения СПО </w:t>
      </w:r>
    </w:p>
    <w:p w14:paraId="00000039">
      <w:pPr>
        <w:tabs>
          <w:tab w:val="left" w:pos="916"/>
          <w:tab w:val="left" w:pos="1832"/>
          <w:tab w:val="left" w:pos="2748"/>
          <w:tab w:val="left" w:pos="3664"/>
          <w:tab w:val="left" w:pos="4580"/>
          <w:tab w:val="left" w:pos="5496"/>
          <w:tab w:val="left" w:pos="6412"/>
          <w:tab w:val="left" w:pos="7328"/>
          <w:tab w:val="left" w:pos="8244"/>
          <w:tab w:val="left" w:pos="9160"/>
          <w:tab w:val="left" w:pos="9960"/>
          <w:tab w:val="left" w:pos="10992"/>
          <w:tab w:val="left" w:pos="11908"/>
          <w:tab w:val="left" w:pos="12824"/>
          <w:tab w:val="left" w:pos="13740"/>
          <w:tab w:val="left" w:pos="14656"/>
        </w:tabs>
        <w:ind w:right="245" w:firstLine="400"/>
        <w:jc w:val="both"/>
        <w:rPr>
          <w:bCs/>
          <w:szCs w:val="24"/>
        </w:rPr>
      </w:pPr>
      <w:r>
        <w:rPr>
          <w:bCs/>
          <w:szCs w:val="24"/>
          <w:u w:val="single"/>
        </w:rPr>
        <w:t>юридического факультета ННГУ</w:t>
      </w:r>
      <w:r>
        <w:rPr>
          <w:bCs/>
          <w:szCs w:val="24"/>
        </w:rPr>
        <w:t xml:space="preserve">                                       _______________</w:t>
      </w:r>
      <w:r>
        <w:rPr>
          <w:bCs/>
          <w:szCs w:val="24"/>
        </w:rPr>
        <w:t>Н.Д. Старикова</w:t>
      </w:r>
    </w:p>
    <w:p w14:paraId="0000003A">
      <w:pPr>
        <w:tabs>
          <w:tab w:val="left" w:pos="916"/>
          <w:tab w:val="left" w:pos="1832"/>
          <w:tab w:val="left" w:pos="2748"/>
          <w:tab w:val="left" w:pos="3664"/>
          <w:tab w:val="left" w:pos="4580"/>
          <w:tab w:val="left" w:pos="5496"/>
          <w:tab w:val="left" w:pos="6412"/>
          <w:tab w:val="left" w:pos="7328"/>
          <w:tab w:val="left" w:pos="8244"/>
          <w:tab w:val="left" w:pos="9160"/>
          <w:tab w:val="left" w:pos="9960"/>
          <w:tab w:val="left" w:pos="10992"/>
          <w:tab w:val="left" w:pos="11908"/>
          <w:tab w:val="left" w:pos="12824"/>
          <w:tab w:val="left" w:pos="13740"/>
          <w:tab w:val="left" w:pos="14656"/>
        </w:tabs>
        <w:ind w:right="245" w:firstLine="400"/>
        <w:jc w:val="both"/>
        <w:rPr>
          <w:bCs/>
          <w:szCs w:val="24"/>
          <w:vertAlign w:val="superscript"/>
        </w:rPr>
      </w:pPr>
      <w:r>
        <w:rPr>
          <w:bCs/>
          <w:szCs w:val="24"/>
          <w:vertAlign w:val="superscript"/>
        </w:rPr>
        <w:t xml:space="preserve">должность, ученая степень, звание                  </w:t>
      </w:r>
    </w:p>
    <w:p w14:paraId="0000003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9960"/>
          <w:tab w:val="left" w:pos="10992"/>
          <w:tab w:val="left" w:pos="11908"/>
          <w:tab w:val="left" w:pos="12824"/>
          <w:tab w:val="left" w:pos="13740"/>
          <w:tab w:val="left" w:pos="14656"/>
        </w:tabs>
        <w:ind w:right="245" w:firstLine="400"/>
        <w:jc w:val="both"/>
        <w:rPr>
          <w:bCs/>
          <w:szCs w:val="24"/>
        </w:rPr>
      </w:pPr>
    </w:p>
    <w:p w14:paraId="000000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9960"/>
          <w:tab w:val="left" w:pos="10992"/>
          <w:tab w:val="left" w:pos="11908"/>
          <w:tab w:val="left" w:pos="12824"/>
          <w:tab w:val="left" w:pos="13740"/>
          <w:tab w:val="left" w:pos="14656"/>
        </w:tabs>
        <w:ind w:right="245" w:firstLine="709"/>
        <w:jc w:val="both"/>
        <w:rPr>
          <w:bCs/>
          <w:szCs w:val="24"/>
        </w:rPr>
      </w:pPr>
      <w:r>
        <w:rPr>
          <w:bCs/>
          <w:szCs w:val="24"/>
        </w:rPr>
        <w:t>Программа  рассмотрена</w:t>
      </w:r>
      <w:r>
        <w:rPr>
          <w:bCs/>
          <w:szCs w:val="24"/>
        </w:rPr>
        <w:t xml:space="preserve">  и  одобрена  на  заседании  методической  комиссии  протокол  </w:t>
      </w:r>
    </w:p>
    <w:p w14:paraId="000000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9960"/>
          <w:tab w:val="left" w:pos="10992"/>
          <w:tab w:val="left" w:pos="11908"/>
          <w:tab w:val="left" w:pos="12824"/>
          <w:tab w:val="left" w:pos="13740"/>
          <w:tab w:val="left" w:pos="14656"/>
        </w:tabs>
        <w:ind w:right="245"/>
        <w:jc w:val="both"/>
        <w:rPr>
          <w:bCs/>
          <w:szCs w:val="24"/>
        </w:rPr>
      </w:pPr>
      <w:r>
        <w:rPr>
          <w:bCs/>
          <w:szCs w:val="24"/>
          <w:highlight w:val="none"/>
        </w:rPr>
        <w:t xml:space="preserve">от «28» </w:t>
      </w:r>
      <w:r>
        <w:rPr>
          <w:bCs/>
          <w:szCs w:val="24"/>
          <w:highlight w:val="none"/>
        </w:rPr>
        <w:t>ма</w:t>
      </w:r>
      <w:r>
        <w:rPr>
          <w:bCs/>
          <w:szCs w:val="24"/>
          <w:highlight w:val="none"/>
        </w:rPr>
        <w:t>я  2025</w:t>
      </w:r>
      <w:r>
        <w:rPr>
          <w:bCs/>
          <w:szCs w:val="24"/>
          <w:highlight w:val="none"/>
        </w:rPr>
        <w:t xml:space="preserve"> г.  № </w:t>
      </w:r>
      <w:r>
        <w:rPr>
          <w:bCs/>
          <w:szCs w:val="24"/>
          <w:highlight w:val="none"/>
        </w:rPr>
        <w:t>7</w:t>
      </w:r>
      <w:r>
        <w:rPr>
          <w:bCs/>
          <w:szCs w:val="24"/>
          <w:highlight w:val="none"/>
        </w:rPr>
        <w:t>.</w:t>
      </w:r>
    </w:p>
    <w:p w14:paraId="000000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00"/>
        <w:jc w:val="both"/>
        <w:rPr>
          <w:bCs/>
          <w:szCs w:val="24"/>
        </w:rPr>
      </w:pPr>
    </w:p>
    <w:p w14:paraId="0000003F">
      <w:pPr>
        <w:rPr>
          <w:szCs w:val="24"/>
        </w:rPr>
      </w:pPr>
      <w:r>
        <w:rPr>
          <w:i/>
          <w:iCs/>
          <w:szCs w:val="24"/>
        </w:rPr>
        <w:br w:type="page"/>
      </w:r>
    </w:p>
    <w:p w14:paraId="00000040">
      <w:pPr>
        <w:pStyle w:val="Раздел1"/>
        <w:rPr>
          <w:rFonts w:ascii="Times New Roman" w:hAnsi="Times New Roman"/>
          <w:lang w:val="ru-RU"/>
        </w:rPr>
      </w:pPr>
      <w:bookmarkStart w:id="0" w:name="_Hlk194419245"/>
      <w:r>
        <w:rPr>
          <w:rFonts w:ascii="Times New Roman" w:hAnsi="Times New Roman"/>
          <w:lang w:val="ru-RU"/>
        </w:rPr>
        <w:t>С</w:t>
      </w:r>
      <w:r>
        <w:rPr>
          <w:rFonts w:ascii="Times New Roman" w:hAnsi="Times New Roman"/>
          <w:lang w:val="ru-RU"/>
        </w:rPr>
        <w:t>ОДЕРЖАНИЕ ПРОГРАММЫ</w:t>
      </w:r>
    </w:p>
    <w:p w14:paraId="00000041">
      <w:pPr>
        <w:jc w:val="center"/>
        <w:rPr>
          <w:b/>
          <w:szCs w:val="24"/>
        </w:rPr>
      </w:pPr>
    </w:p>
    <w:p w14:paraId="00000042">
      <w:pPr>
        <w:numPr>
          <w:ilvl w:val="0"/>
          <w:numId w:val="2"/>
        </w:numPr>
        <w:ind w:left="0"/>
        <w:jc w:val="both"/>
        <w:rPr>
          <w:b/>
          <w:szCs w:val="24"/>
        </w:rPr>
      </w:pPr>
      <w:r>
        <w:rPr>
          <w:b/>
          <w:szCs w:val="24"/>
        </w:rPr>
        <w:t>ПАСПОРТ РАБОЧЕЙ ПРОГРАММЫ ДИСЦИПЛИНЫ……………</w:t>
      </w:r>
      <w:r>
        <w:rPr>
          <w:b/>
          <w:szCs w:val="24"/>
        </w:rPr>
        <w:t>…….</w:t>
      </w:r>
      <w:r>
        <w:rPr>
          <w:b/>
          <w:szCs w:val="24"/>
        </w:rPr>
        <w:t>.……4 стр.</w:t>
      </w:r>
    </w:p>
    <w:p w14:paraId="00000043">
      <w:pPr>
        <w:numPr>
          <w:ilvl w:val="0"/>
          <w:numId w:val="2"/>
        </w:numPr>
        <w:ind w:left="0"/>
        <w:jc w:val="both"/>
        <w:rPr>
          <w:b/>
          <w:szCs w:val="24"/>
        </w:rPr>
      </w:pPr>
      <w:r>
        <w:rPr>
          <w:b/>
          <w:szCs w:val="24"/>
        </w:rPr>
        <w:t>СТРУКТУРА И СОДЕРЖАНИЕ ДИСЦИПЛИНЫ…………………………</w:t>
      </w:r>
      <w:r>
        <w:rPr>
          <w:b/>
          <w:szCs w:val="24"/>
        </w:rPr>
        <w:t>…....</w:t>
      </w:r>
      <w:r>
        <w:rPr>
          <w:b/>
          <w:szCs w:val="24"/>
        </w:rPr>
        <w:t>.7 стр.</w:t>
      </w:r>
    </w:p>
    <w:p w14:paraId="00000044">
      <w:pPr>
        <w:numPr>
          <w:ilvl w:val="0"/>
          <w:numId w:val="2"/>
        </w:numPr>
        <w:ind w:left="0"/>
        <w:jc w:val="both"/>
        <w:rPr>
          <w:b/>
          <w:szCs w:val="24"/>
        </w:rPr>
      </w:pPr>
      <w:r>
        <w:rPr>
          <w:b/>
          <w:szCs w:val="24"/>
        </w:rPr>
        <w:t>УСЛОВИЯ РЕАЛИЗАЦИИ ПРОГРАММЫ ДИСЦИПЛИНЫ……………</w:t>
      </w:r>
      <w:r>
        <w:rPr>
          <w:b/>
          <w:szCs w:val="24"/>
        </w:rPr>
        <w:t>…....</w:t>
      </w:r>
      <w:r>
        <w:rPr>
          <w:b/>
          <w:szCs w:val="24"/>
        </w:rPr>
        <w:t>.22 стр.</w:t>
      </w:r>
    </w:p>
    <w:p w14:paraId="00000045">
      <w:pPr>
        <w:numPr>
          <w:ilvl w:val="0"/>
          <w:numId w:val="2"/>
        </w:numPr>
        <w:ind w:left="0"/>
        <w:jc w:val="both"/>
        <w:rPr>
          <w:b/>
          <w:szCs w:val="24"/>
        </w:rPr>
      </w:pPr>
      <w:r>
        <w:rPr>
          <w:b/>
          <w:szCs w:val="24"/>
        </w:rPr>
        <w:t>КОНТРОЛЬ И ОЦЕНКА РЕЗУЛЬТАТОВ ОСВОЕНИЯ ДИСЦИПЛИНЫ…. 24 стр.</w:t>
      </w:r>
    </w:p>
    <w:p w14:paraId="00000046">
      <w:pPr>
        <w:jc w:val="both"/>
        <w:rPr>
          <w:b/>
          <w:szCs w:val="24"/>
        </w:rPr>
      </w:pPr>
    </w:p>
    <w:p w14:paraId="00000047">
      <w:pPr>
        <w:jc w:val="both"/>
        <w:rPr>
          <w:b/>
          <w:szCs w:val="24"/>
        </w:rPr>
      </w:pPr>
    </w:p>
    <w:p w14:paraId="00000048">
      <w:pPr>
        <w:jc w:val="both"/>
        <w:rPr>
          <w:b/>
          <w:szCs w:val="24"/>
        </w:rPr>
      </w:pPr>
    </w:p>
    <w:p w14:paraId="00000049">
      <w:pPr>
        <w:jc w:val="both"/>
        <w:rPr>
          <w:b/>
          <w:szCs w:val="24"/>
        </w:rPr>
      </w:pPr>
    </w:p>
    <w:p w14:paraId="0000004A">
      <w:pPr>
        <w:jc w:val="both"/>
        <w:rPr>
          <w:b/>
          <w:szCs w:val="24"/>
        </w:rPr>
      </w:pPr>
    </w:p>
    <w:p w14:paraId="0000004B">
      <w:pPr>
        <w:jc w:val="both"/>
        <w:rPr>
          <w:b/>
          <w:szCs w:val="24"/>
        </w:rPr>
      </w:pPr>
    </w:p>
    <w:p w14:paraId="0000004C">
      <w:pPr>
        <w:jc w:val="both"/>
        <w:rPr>
          <w:b/>
          <w:szCs w:val="24"/>
        </w:rPr>
      </w:pPr>
    </w:p>
    <w:p w14:paraId="0000004D">
      <w:pPr>
        <w:jc w:val="both"/>
        <w:rPr>
          <w:b/>
          <w:szCs w:val="24"/>
        </w:rPr>
      </w:pPr>
    </w:p>
    <w:p w14:paraId="0000004E">
      <w:pPr>
        <w:jc w:val="both"/>
        <w:rPr>
          <w:b/>
          <w:szCs w:val="24"/>
        </w:rPr>
      </w:pPr>
    </w:p>
    <w:p w14:paraId="0000004F">
      <w:pPr>
        <w:jc w:val="both"/>
        <w:rPr>
          <w:b/>
          <w:szCs w:val="24"/>
        </w:rPr>
      </w:pPr>
    </w:p>
    <w:p w14:paraId="00000050">
      <w:pPr>
        <w:jc w:val="both"/>
        <w:rPr>
          <w:b/>
          <w:szCs w:val="24"/>
        </w:rPr>
      </w:pPr>
    </w:p>
    <w:p w14:paraId="00000051">
      <w:pPr>
        <w:jc w:val="both"/>
        <w:rPr>
          <w:b/>
          <w:szCs w:val="24"/>
        </w:rPr>
      </w:pPr>
    </w:p>
    <w:p w14:paraId="00000052">
      <w:pPr>
        <w:jc w:val="both"/>
        <w:rPr>
          <w:b/>
          <w:szCs w:val="24"/>
        </w:rPr>
      </w:pPr>
    </w:p>
    <w:p w14:paraId="00000053">
      <w:pPr>
        <w:jc w:val="both"/>
        <w:rPr>
          <w:b/>
          <w:szCs w:val="24"/>
        </w:rPr>
      </w:pPr>
    </w:p>
    <w:p w14:paraId="00000054">
      <w:pPr>
        <w:jc w:val="both"/>
        <w:rPr>
          <w:b/>
          <w:szCs w:val="24"/>
        </w:rPr>
      </w:pPr>
    </w:p>
    <w:p w14:paraId="00000055">
      <w:pPr>
        <w:jc w:val="both"/>
        <w:rPr>
          <w:b/>
          <w:szCs w:val="24"/>
        </w:rPr>
      </w:pPr>
    </w:p>
    <w:p w14:paraId="00000056">
      <w:pPr>
        <w:jc w:val="both"/>
        <w:rPr>
          <w:b/>
          <w:szCs w:val="24"/>
        </w:rPr>
      </w:pPr>
    </w:p>
    <w:p w14:paraId="00000057">
      <w:pPr>
        <w:jc w:val="both"/>
        <w:rPr>
          <w:b/>
          <w:szCs w:val="24"/>
        </w:rPr>
      </w:pPr>
    </w:p>
    <w:p w14:paraId="00000058">
      <w:pPr>
        <w:jc w:val="both"/>
        <w:rPr>
          <w:b/>
          <w:szCs w:val="24"/>
        </w:rPr>
      </w:pPr>
    </w:p>
    <w:p w14:paraId="00000059">
      <w:pPr>
        <w:jc w:val="both"/>
        <w:rPr>
          <w:b/>
          <w:szCs w:val="24"/>
        </w:rPr>
      </w:pPr>
    </w:p>
    <w:p w14:paraId="0000005A">
      <w:pPr>
        <w:jc w:val="both"/>
        <w:rPr>
          <w:b/>
          <w:szCs w:val="24"/>
        </w:rPr>
      </w:pPr>
    </w:p>
    <w:p w14:paraId="0000005B">
      <w:pPr>
        <w:jc w:val="both"/>
        <w:rPr>
          <w:b/>
          <w:szCs w:val="24"/>
        </w:rPr>
      </w:pPr>
    </w:p>
    <w:p w14:paraId="0000005C">
      <w:pPr>
        <w:jc w:val="both"/>
        <w:rPr>
          <w:b/>
          <w:szCs w:val="24"/>
        </w:rPr>
      </w:pPr>
    </w:p>
    <w:p w14:paraId="0000005D">
      <w:pPr>
        <w:jc w:val="both"/>
        <w:rPr>
          <w:b/>
          <w:szCs w:val="24"/>
        </w:rPr>
      </w:pPr>
    </w:p>
    <w:p w14:paraId="0000005E">
      <w:pPr>
        <w:jc w:val="both"/>
        <w:rPr>
          <w:b/>
          <w:szCs w:val="24"/>
        </w:rPr>
      </w:pPr>
    </w:p>
    <w:p w14:paraId="0000005F">
      <w:pPr>
        <w:jc w:val="both"/>
        <w:rPr>
          <w:b/>
          <w:szCs w:val="24"/>
        </w:rPr>
      </w:pPr>
    </w:p>
    <w:p w14:paraId="00000060">
      <w:pPr>
        <w:jc w:val="both"/>
        <w:rPr>
          <w:b/>
          <w:szCs w:val="24"/>
        </w:rPr>
      </w:pPr>
    </w:p>
    <w:p w14:paraId="00000061">
      <w:pPr>
        <w:jc w:val="both"/>
        <w:rPr>
          <w:b/>
          <w:szCs w:val="24"/>
        </w:rPr>
      </w:pPr>
    </w:p>
    <w:p w14:paraId="00000062">
      <w:pPr>
        <w:jc w:val="both"/>
        <w:rPr>
          <w:b/>
          <w:szCs w:val="24"/>
        </w:rPr>
      </w:pPr>
    </w:p>
    <w:p w14:paraId="00000063">
      <w:pPr>
        <w:jc w:val="both"/>
        <w:rPr>
          <w:b/>
          <w:szCs w:val="24"/>
        </w:rPr>
      </w:pPr>
    </w:p>
    <w:p w14:paraId="00000064">
      <w:pPr>
        <w:jc w:val="both"/>
        <w:rPr>
          <w:b/>
          <w:szCs w:val="24"/>
        </w:rPr>
      </w:pPr>
    </w:p>
    <w:p w14:paraId="00000065">
      <w:pPr>
        <w:jc w:val="both"/>
        <w:rPr>
          <w:b/>
          <w:szCs w:val="24"/>
        </w:rPr>
      </w:pPr>
    </w:p>
    <w:p w14:paraId="00000066">
      <w:pPr>
        <w:jc w:val="both"/>
        <w:rPr>
          <w:b/>
          <w:szCs w:val="24"/>
        </w:rPr>
      </w:pPr>
    </w:p>
    <w:p w14:paraId="00000067">
      <w:pPr>
        <w:jc w:val="both"/>
        <w:rPr>
          <w:b/>
          <w:szCs w:val="24"/>
        </w:rPr>
      </w:pPr>
    </w:p>
    <w:p w14:paraId="00000068">
      <w:pPr>
        <w:jc w:val="both"/>
        <w:rPr>
          <w:b/>
          <w:szCs w:val="24"/>
        </w:rPr>
      </w:pPr>
    </w:p>
    <w:p w14:paraId="00000069">
      <w:pPr>
        <w:jc w:val="both"/>
        <w:rPr>
          <w:b/>
          <w:szCs w:val="24"/>
        </w:rPr>
      </w:pPr>
    </w:p>
    <w:p w14:paraId="0000006A">
      <w:pPr>
        <w:jc w:val="both"/>
        <w:rPr>
          <w:b/>
          <w:szCs w:val="24"/>
        </w:rPr>
      </w:pPr>
    </w:p>
    <w:p w14:paraId="0000006B">
      <w:pPr>
        <w:jc w:val="both"/>
        <w:rPr>
          <w:b/>
          <w:szCs w:val="24"/>
        </w:rPr>
      </w:pPr>
    </w:p>
    <w:p w14:paraId="0000006C">
      <w:pPr>
        <w:jc w:val="both"/>
        <w:rPr>
          <w:b/>
          <w:szCs w:val="24"/>
        </w:rPr>
      </w:pPr>
    </w:p>
    <w:p w14:paraId="0000006D">
      <w:pPr>
        <w:jc w:val="both"/>
        <w:rPr>
          <w:b/>
          <w:szCs w:val="24"/>
        </w:rPr>
      </w:pPr>
    </w:p>
    <w:p w14:paraId="0000006E">
      <w:pPr>
        <w:jc w:val="both"/>
        <w:rPr>
          <w:b/>
          <w:szCs w:val="24"/>
        </w:rPr>
      </w:pPr>
    </w:p>
    <w:p w14:paraId="0000006F">
      <w:pPr>
        <w:jc w:val="both"/>
        <w:rPr>
          <w:b/>
          <w:szCs w:val="24"/>
        </w:rPr>
      </w:pPr>
    </w:p>
    <w:p w14:paraId="00000070">
      <w:pPr>
        <w:jc w:val="both"/>
        <w:rPr>
          <w:b/>
          <w:szCs w:val="24"/>
        </w:rPr>
      </w:pPr>
    </w:p>
    <w:p w14:paraId="00000071">
      <w:pPr>
        <w:jc w:val="both"/>
        <w:rPr>
          <w:b/>
          <w:szCs w:val="24"/>
        </w:rPr>
      </w:pPr>
    </w:p>
    <w:p w14:paraId="00000072">
      <w:pPr>
        <w:jc w:val="both"/>
        <w:rPr>
          <w:b/>
          <w:szCs w:val="24"/>
        </w:rPr>
      </w:pPr>
    </w:p>
    <w:p w14:paraId="00000073">
      <w:pPr>
        <w:jc w:val="both"/>
        <w:rPr>
          <w:b/>
          <w:szCs w:val="24"/>
        </w:rPr>
      </w:pPr>
    </w:p>
    <w:p w14:paraId="00000074">
      <w:pPr>
        <w:numPr>
          <w:ilvl w:val="0"/>
          <w:numId w:val="3"/>
        </w:numPr>
        <w:jc w:val="center"/>
        <w:rPr>
          <w:b/>
          <w:szCs w:val="24"/>
        </w:rPr>
      </w:pPr>
      <w:bookmarkEnd w:id="0"/>
      <w:r>
        <w:rPr>
          <w:b/>
          <w:szCs w:val="24"/>
        </w:rPr>
        <w:t>ПАСПОРТ РАБОЧЕЙ ПРОГРАММЫ ДИСЦИПЛИНЫ</w:t>
      </w:r>
    </w:p>
    <w:p w14:paraId="00000075">
      <w:pPr>
        <w:ind w:left="720"/>
        <w:jc w:val="center"/>
        <w:rPr>
          <w:b/>
          <w:szCs w:val="24"/>
        </w:rPr>
      </w:pPr>
      <w:r>
        <w:rPr>
          <w:b/>
          <w:szCs w:val="24"/>
        </w:rPr>
        <w:t>Этики и психология в профессиональной деятельности</w:t>
      </w:r>
    </w:p>
    <w:p w14:paraId="00000076">
      <w:pPr>
        <w:numPr>
          <w:ilvl w:val="1"/>
          <w:numId w:val="3"/>
        </w:numPr>
        <w:ind w:left="567"/>
        <w:jc w:val="both"/>
        <w:rPr>
          <w:b/>
          <w:szCs w:val="24"/>
        </w:rPr>
      </w:pPr>
      <w:r>
        <w:rPr>
          <w:b/>
          <w:szCs w:val="24"/>
        </w:rPr>
        <w:t>Область применения рабочей программы</w:t>
      </w:r>
    </w:p>
    <w:p w14:paraId="00000077">
      <w:pPr>
        <w:ind w:left="-153" w:firstLine="720"/>
        <w:jc w:val="both"/>
        <w:rPr>
          <w:szCs w:val="24"/>
        </w:rPr>
      </w:pPr>
      <w:r>
        <w:rPr>
          <w:szCs w:val="24"/>
        </w:rPr>
        <w:t>Рабочая программа учебной дисциплины является частью программы подготовки специалистов среднего звена в соответствии с ФГОС по специальности СПО 40.02.02 «Правоохранительная деятельность».</w:t>
      </w:r>
    </w:p>
    <w:p w14:paraId="00000078">
      <w:pPr>
        <w:numPr>
          <w:ilvl w:val="1"/>
          <w:numId w:val="3"/>
        </w:numPr>
        <w:ind w:left="567"/>
        <w:jc w:val="both"/>
        <w:rPr>
          <w:b/>
          <w:szCs w:val="24"/>
        </w:rPr>
      </w:pPr>
      <w:r>
        <w:rPr>
          <w:b/>
          <w:szCs w:val="24"/>
        </w:rPr>
        <w:t>Место дисциплины в структуре программы подготовки специалистов среднего звена</w:t>
      </w:r>
    </w:p>
    <w:p w14:paraId="00000079">
      <w:pPr>
        <w:jc w:val="both"/>
        <w:rPr>
          <w:szCs w:val="24"/>
        </w:rPr>
      </w:pPr>
      <w:r>
        <w:rPr>
          <w:szCs w:val="24"/>
        </w:rPr>
        <w:t>Дисциплина включена в вариативную часть профессионального цикла основной образовательной программы. Преподается в первом семестр</w:t>
      </w:r>
      <w:r>
        <w:rPr>
          <w:szCs w:val="24"/>
        </w:rPr>
        <w:t>е</w:t>
      </w:r>
      <w:r>
        <w:rPr>
          <w:szCs w:val="24"/>
        </w:rPr>
        <w:t>. Программа дисциплины «Этика и психология профессиональной деятельности» составлена с учётом потребности общества в специалистах – правоведах широкого профиля, обладающих определённым набором навыков профессионального общения и необходимыми знаниями в области теоретической и прикладной психологии и этики.</w:t>
      </w:r>
    </w:p>
    <w:p w14:paraId="0000007A">
      <w:pPr>
        <w:numPr>
          <w:ilvl w:val="1"/>
          <w:numId w:val="3"/>
        </w:numPr>
        <w:ind w:left="567"/>
        <w:jc w:val="both"/>
        <w:rPr>
          <w:b/>
          <w:szCs w:val="24"/>
        </w:rPr>
      </w:pPr>
      <w:r>
        <w:rPr>
          <w:b/>
          <w:szCs w:val="24"/>
        </w:rPr>
        <w:t>Цели и задачи дисциплины; требования к результатам освоения дисциплины</w:t>
      </w:r>
    </w:p>
    <w:p w14:paraId="0000007B">
      <w:pPr>
        <w:pStyle w:val="BodyTextIndent2"/>
        <w:ind w:firstLine="0"/>
        <w:rPr>
          <w:szCs w:val="24"/>
        </w:rPr>
      </w:pPr>
      <w:r>
        <w:rPr>
          <w:b/>
          <w:szCs w:val="24"/>
        </w:rPr>
        <w:t>Целями</w:t>
      </w:r>
      <w:r>
        <w:rPr>
          <w:szCs w:val="24"/>
        </w:rPr>
        <w:t xml:space="preserve"> освоения дисциплины являются: </w:t>
      </w:r>
    </w:p>
    <w:p w14:paraId="0000007C">
      <w:pPr>
        <w:pStyle w:val="BodyTextIndent2"/>
        <w:numPr>
          <w:ilvl w:val="0"/>
          <w:numId w:val="4"/>
        </w:numPr>
        <w:rPr>
          <w:szCs w:val="24"/>
        </w:rPr>
      </w:pPr>
      <w:r>
        <w:rPr>
          <w:szCs w:val="24"/>
        </w:rPr>
        <w:t xml:space="preserve">формирование теоретических знаний для профессиональной подготовки студентов; </w:t>
      </w:r>
    </w:p>
    <w:p w14:paraId="0000007D">
      <w:pPr>
        <w:pStyle w:val="BodyTextIndent2"/>
        <w:numPr>
          <w:ilvl w:val="0"/>
          <w:numId w:val="4"/>
        </w:numPr>
        <w:rPr>
          <w:szCs w:val="24"/>
        </w:rPr>
      </w:pPr>
      <w:r>
        <w:rPr>
          <w:szCs w:val="24"/>
        </w:rPr>
        <w:t>знакомство студентов с проблемой этики и психологии в профессиональной деятельности людей.</w:t>
      </w:r>
    </w:p>
    <w:p w14:paraId="0000007E">
      <w:pPr>
        <w:jc w:val="both"/>
        <w:rPr>
          <w:szCs w:val="24"/>
        </w:rPr>
      </w:pPr>
      <w:r>
        <w:rPr>
          <w:b/>
          <w:szCs w:val="24"/>
        </w:rPr>
        <w:t xml:space="preserve">Задачи: </w:t>
      </w:r>
      <w:r>
        <w:rPr>
          <w:szCs w:val="24"/>
        </w:rPr>
        <w:t>овладение правилами этикета и применение в своей повседневной жизни; воспитание порядка разрешения конфликтных ситуаций; приобщение к знаниям по этическим и психологическим аспектам будущей профессиональной деятельности; создание условий для получения некоторых навыков и осознания своих позиций по изучаемым вопросам.</w:t>
      </w:r>
    </w:p>
    <w:p w14:paraId="0000007F">
      <w:pPr>
        <w:pStyle w:val="Обычный(веб)1"/>
        <w:rPr>
          <w:lang w:val="ru-RU"/>
        </w:rPr>
      </w:pPr>
    </w:p>
    <w:p w14:paraId="00000080">
      <w:pPr>
        <w:pStyle w:val="NoSpacing"/>
        <w:jc w:val="both"/>
        <w:rPr>
          <w:rFonts w:ascii="Times New Roman" w:hAnsi="Times New Roman"/>
          <w:sz w:val="24"/>
          <w:szCs w:val="24"/>
        </w:rPr>
      </w:pPr>
      <w:r>
        <w:rPr>
          <w:rFonts w:ascii="Times New Roman" w:hAnsi="Times New Roman"/>
          <w:b/>
          <w:sz w:val="24"/>
          <w:szCs w:val="24"/>
        </w:rPr>
        <w:t>В результате освоения дисциплины обучающийся должен владеть общими компетенциями</w:t>
      </w:r>
      <w:r>
        <w:rPr>
          <w:rFonts w:ascii="Times New Roman" w:hAnsi="Times New Roman"/>
          <w:b/>
          <w:sz w:val="24"/>
          <w:szCs w:val="24"/>
        </w:rPr>
        <w:t xml:space="preserve">, </w:t>
      </w:r>
      <w:r>
        <w:rPr>
          <w:rFonts w:ascii="Times New Roman" w:hAnsi="Times New Roman"/>
          <w:b/>
          <w:sz w:val="24"/>
          <w:szCs w:val="24"/>
        </w:rPr>
        <w:t>должен знать</w:t>
      </w:r>
      <w:r>
        <w:rPr>
          <w:rFonts w:ascii="Times New Roman" w:hAnsi="Times New Roman"/>
          <w:b/>
          <w:sz w:val="24"/>
          <w:szCs w:val="24"/>
        </w:rPr>
        <w:t xml:space="preserve"> и уметь: </w:t>
      </w:r>
    </w:p>
    <w:p w14:paraId="00000081">
      <w:pPr>
        <w:jc w:val="both"/>
        <w:rPr>
          <w:szCs w:val="24"/>
        </w:rPr>
      </w:pPr>
    </w:p>
    <w:tbl>
      <w:tblPr>
        <w:tblpPr w:leftFromText="180" w:rightFromText="180" w:vertAnchor="text" w:tblpXSpec="center" w:tblpY="1"/>
        <w:tblOverlap w:val="never"/>
        <w:tblW w:w="51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tblPr>
      <w:tblGrid>
        <w:gridCol w:w="704"/>
        <w:gridCol w:w="1992"/>
        <w:gridCol w:w="7004"/>
      </w:tblGrid>
      <w:tr>
        <w:trPr>
          <w:cantSplit w:val="on"/>
          <w:trHeight w:val="419"/>
        </w:trPr>
        <w:tc>
          <w:tcPr>
            <w:cnfStyle w:val="101000000000"/>
            <w:tcW w:w="363" w:type="pct"/>
            <w:vAlign w:val="center"/>
          </w:tcPr>
          <w:p w14:paraId="00000082">
            <w:pPr>
              <w:jc w:val="center"/>
              <w:rPr>
                <w:rFonts w:eastAsia="Calibri"/>
                <w:iCs/>
                <w:color w:val="auto"/>
                <w:szCs w:val="24"/>
                <w:lang w:eastAsia="en-US"/>
              </w:rPr>
            </w:pPr>
            <w:r>
              <w:rPr>
                <w:rFonts w:eastAsia="Calibri"/>
                <w:b/>
                <w:color w:val="auto"/>
                <w:szCs w:val="24"/>
                <w:lang w:eastAsia="en-US"/>
              </w:rPr>
              <w:t>Код ОК</w:t>
            </w:r>
          </w:p>
        </w:tc>
        <w:tc>
          <w:tcPr>
            <w:cnfStyle w:val="100000000000"/>
            <w:tcW w:w="1027" w:type="pct"/>
            <w:vAlign w:val="center"/>
          </w:tcPr>
          <w:p w14:paraId="00000083">
            <w:pPr>
              <w:jc w:val="center"/>
              <w:rPr>
                <w:rFonts w:eastAsia="Calibri"/>
                <w:iCs/>
                <w:color w:val="auto"/>
                <w:szCs w:val="24"/>
                <w:lang w:eastAsia="en-US"/>
              </w:rPr>
            </w:pPr>
            <w:r>
              <w:rPr>
                <w:rFonts w:eastAsia="Calibri"/>
                <w:b/>
                <w:iCs/>
                <w:color w:val="auto"/>
                <w:szCs w:val="24"/>
                <w:lang w:eastAsia="en-US"/>
              </w:rPr>
              <w:t>Формулировка компетенции</w:t>
            </w:r>
          </w:p>
        </w:tc>
        <w:tc>
          <w:tcPr>
            <w:cnfStyle w:val="100000000000"/>
            <w:tcW w:w="3610" w:type="pct"/>
            <w:shd w:val="clear" w:color="auto" w:fill="auto"/>
            <w:vAlign w:val="center"/>
          </w:tcPr>
          <w:p w14:paraId="00000084">
            <w:pPr>
              <w:jc w:val="center"/>
              <w:rPr>
                <w:rFonts w:eastAsia="Calibri"/>
                <w:b/>
                <w:iCs/>
                <w:color w:val="auto"/>
                <w:szCs w:val="24"/>
                <w:lang w:eastAsia="en-US"/>
              </w:rPr>
            </w:pPr>
            <w:r>
              <w:rPr>
                <w:rFonts w:eastAsia="Calibri"/>
                <w:b/>
                <w:iCs/>
                <w:color w:val="auto"/>
                <w:szCs w:val="24"/>
                <w:lang w:eastAsia="en-US"/>
              </w:rPr>
              <w:t xml:space="preserve">Знания, умения </w:t>
            </w:r>
          </w:p>
        </w:tc>
      </w:tr>
      <w:tr>
        <w:trPr>
          <w:trHeight w:val="20"/>
        </w:trPr>
        <w:tc>
          <w:tcPr>
            <w:cnfStyle w:val="001000100000"/>
            <w:tcW w:w="363" w:type="pct"/>
            <w:vMerge w:val="restart"/>
          </w:tcPr>
          <w:p w14:paraId="00000085">
            <w:pPr>
              <w:jc w:val="center"/>
              <w:rPr>
                <w:rFonts w:eastAsia="Calibri"/>
                <w:iCs/>
                <w:color w:val="auto"/>
                <w:szCs w:val="24"/>
                <w:lang w:eastAsia="en-US"/>
              </w:rPr>
            </w:pPr>
            <w:r>
              <w:rPr>
                <w:rFonts w:eastAsia="Calibri"/>
                <w:iCs/>
                <w:color w:val="auto"/>
                <w:szCs w:val="24"/>
                <w:lang w:eastAsia="en-US"/>
              </w:rPr>
              <w:t>ОК 01</w:t>
            </w:r>
          </w:p>
        </w:tc>
        <w:tc>
          <w:tcPr>
            <w:cnfStyle w:val="000000100000"/>
            <w:tcW w:w="1027" w:type="pct"/>
            <w:vMerge w:val="restart"/>
          </w:tcPr>
          <w:p w14:paraId="00000086">
            <w:pPr>
              <w:rPr>
                <w:rFonts w:eastAsia="Calibri"/>
                <w:color w:val="auto"/>
                <w:szCs w:val="24"/>
                <w:lang w:eastAsia="en-US"/>
              </w:rPr>
            </w:pPr>
            <w:r>
              <w:rPr>
                <w:rFonts w:eastAsia="Calibri"/>
                <w:color w:val="auto"/>
                <w:szCs w:val="24"/>
                <w:lang w:eastAsia="en-US"/>
              </w:rPr>
              <w:t>Выбирать способы решения задач профессиональной деятельности применительно к различным контекстам</w:t>
            </w:r>
          </w:p>
        </w:tc>
        <w:tc>
          <w:tcPr>
            <w:cnfStyle w:val="000000100000"/>
            <w:tcW w:w="3610" w:type="pct"/>
            <w:shd w:val="clear" w:color="auto" w:fill="auto"/>
          </w:tcPr>
          <w:p w14:paraId="00000087">
            <w:pPr>
              <w:jc w:val="both"/>
              <w:rPr>
                <w:rFonts w:eastAsia="Calibri"/>
                <w:iCs/>
                <w:color w:val="auto"/>
                <w:szCs w:val="24"/>
                <w:lang w:eastAsia="en-US"/>
              </w:rPr>
            </w:pPr>
            <w:r>
              <w:rPr>
                <w:rFonts w:eastAsia="Calibri"/>
                <w:b/>
                <w:iCs/>
                <w:color w:val="auto"/>
                <w:szCs w:val="24"/>
                <w:lang w:eastAsia="en-US"/>
              </w:rPr>
              <w:t xml:space="preserve">Умения: </w:t>
            </w:r>
          </w:p>
        </w:tc>
      </w:tr>
      <w:tr>
        <w:trPr>
          <w:trHeight w:val="20"/>
        </w:trPr>
        <w:tc>
          <w:tcPr>
            <w:cnfStyle w:val="001000010000"/>
            <w:tcW w:w="363" w:type="pct"/>
            <w:vMerge w:val="continue"/>
          </w:tcPr>
          <w:p w14:paraId="00000088">
            <w:pPr>
              <w:jc w:val="center"/>
              <w:rPr>
                <w:rFonts w:eastAsia="Calibri"/>
                <w:iCs/>
                <w:color w:val="auto"/>
                <w:szCs w:val="24"/>
                <w:lang w:eastAsia="en-US"/>
              </w:rPr>
            </w:pPr>
          </w:p>
        </w:tc>
        <w:tc>
          <w:tcPr>
            <w:cnfStyle w:val="000000010000"/>
            <w:tcW w:w="1027" w:type="pct"/>
            <w:vMerge w:val="continue"/>
          </w:tcPr>
          <w:p w14:paraId="00000089">
            <w:pPr>
              <w:rPr>
                <w:rFonts w:eastAsia="Calibri"/>
                <w:iCs/>
                <w:color w:val="auto"/>
                <w:szCs w:val="24"/>
                <w:lang w:eastAsia="en-US"/>
              </w:rPr>
            </w:pPr>
          </w:p>
        </w:tc>
        <w:tc>
          <w:tcPr>
            <w:cnfStyle w:val="000000010000"/>
            <w:tcW w:w="3610" w:type="pct"/>
            <w:shd w:val="clear" w:color="auto" w:fill="auto"/>
          </w:tcPr>
          <w:p w14:paraId="0000008A">
            <w:pPr>
              <w:jc w:val="both"/>
              <w:rPr>
                <w:rFonts w:eastAsia="Calibri"/>
                <w:b/>
                <w:iCs/>
                <w:color w:val="auto"/>
                <w:szCs w:val="24"/>
                <w:lang w:eastAsia="en-US"/>
              </w:rPr>
            </w:pPr>
            <w:r>
              <w:rPr>
                <w:rFonts w:eastAsia="Calibri"/>
                <w:iCs/>
                <w:color w:val="auto"/>
                <w:szCs w:val="24"/>
                <w:lang w:eastAsia="en-US"/>
              </w:rPr>
              <w:t>распознавать задачу и/или проблему в профессиональном и/или социальном контексте, анализировать и выделять её составные части</w:t>
            </w:r>
          </w:p>
        </w:tc>
      </w:tr>
      <w:tr>
        <w:trPr>
          <w:trHeight w:val="20"/>
        </w:trPr>
        <w:tc>
          <w:tcPr>
            <w:cnfStyle w:val="001000100000"/>
            <w:tcW w:w="363" w:type="pct"/>
            <w:vMerge w:val="continue"/>
          </w:tcPr>
          <w:p w14:paraId="0000008B">
            <w:pPr>
              <w:jc w:val="center"/>
              <w:rPr>
                <w:rFonts w:eastAsia="Calibri"/>
                <w:iCs/>
                <w:color w:val="auto"/>
                <w:szCs w:val="24"/>
                <w:lang w:eastAsia="en-US"/>
              </w:rPr>
            </w:pPr>
          </w:p>
        </w:tc>
        <w:tc>
          <w:tcPr>
            <w:cnfStyle w:val="000000100000"/>
            <w:tcW w:w="1027" w:type="pct"/>
            <w:vMerge w:val="continue"/>
          </w:tcPr>
          <w:p w14:paraId="0000008C">
            <w:pPr>
              <w:rPr>
                <w:rFonts w:eastAsia="Calibri"/>
                <w:iCs/>
                <w:color w:val="auto"/>
                <w:szCs w:val="24"/>
                <w:lang w:eastAsia="en-US"/>
              </w:rPr>
            </w:pPr>
          </w:p>
        </w:tc>
        <w:tc>
          <w:tcPr>
            <w:cnfStyle w:val="000000100000"/>
            <w:tcW w:w="3610" w:type="pct"/>
            <w:shd w:val="clear" w:color="auto" w:fill="auto"/>
          </w:tcPr>
          <w:p w14:paraId="0000008D">
            <w:pPr>
              <w:jc w:val="both"/>
              <w:rPr>
                <w:rFonts w:eastAsia="Calibri"/>
                <w:iCs/>
                <w:color w:val="auto"/>
                <w:szCs w:val="24"/>
                <w:lang w:eastAsia="en-US"/>
              </w:rPr>
            </w:pPr>
            <w:r>
              <w:rPr>
                <w:rFonts w:eastAsia="Calibri"/>
                <w:iCs/>
                <w:color w:val="auto"/>
                <w:szCs w:val="24"/>
                <w:lang w:eastAsia="en-US"/>
              </w:rPr>
              <w:t>определять этапы решения задачи, составлять план действия, реализовывать составленный план, определять необходимые ресурсы</w:t>
            </w:r>
          </w:p>
        </w:tc>
      </w:tr>
      <w:tr>
        <w:trPr>
          <w:trHeight w:val="20"/>
        </w:trPr>
        <w:tc>
          <w:tcPr>
            <w:cnfStyle w:val="001000010000"/>
            <w:tcW w:w="363" w:type="pct"/>
            <w:vMerge w:val="continue"/>
          </w:tcPr>
          <w:p w14:paraId="0000008E">
            <w:pPr>
              <w:jc w:val="center"/>
              <w:rPr>
                <w:rFonts w:eastAsia="Calibri"/>
                <w:iCs/>
                <w:color w:val="auto"/>
                <w:szCs w:val="24"/>
                <w:lang w:eastAsia="en-US"/>
              </w:rPr>
            </w:pPr>
          </w:p>
        </w:tc>
        <w:tc>
          <w:tcPr>
            <w:cnfStyle w:val="000000010000"/>
            <w:tcW w:w="1027" w:type="pct"/>
            <w:vMerge w:val="continue"/>
          </w:tcPr>
          <w:p w14:paraId="0000008F">
            <w:pPr>
              <w:rPr>
                <w:rFonts w:eastAsia="Calibri"/>
                <w:iCs/>
                <w:color w:val="auto"/>
                <w:szCs w:val="24"/>
                <w:lang w:eastAsia="en-US"/>
              </w:rPr>
            </w:pPr>
          </w:p>
        </w:tc>
        <w:tc>
          <w:tcPr>
            <w:cnfStyle w:val="000000010000"/>
            <w:tcW w:w="3610" w:type="pct"/>
            <w:shd w:val="clear" w:color="auto" w:fill="auto"/>
          </w:tcPr>
          <w:p w14:paraId="00000090">
            <w:pPr>
              <w:jc w:val="both"/>
              <w:rPr>
                <w:rFonts w:eastAsia="Calibri"/>
                <w:iCs/>
                <w:color w:val="auto"/>
                <w:szCs w:val="24"/>
                <w:lang w:eastAsia="en-US"/>
              </w:rPr>
            </w:pPr>
            <w:r>
              <w:rPr>
                <w:rFonts w:eastAsia="Calibri"/>
                <w:iCs/>
                <w:color w:val="auto"/>
                <w:szCs w:val="24"/>
                <w:lang w:eastAsia="en-US"/>
              </w:rPr>
              <w:t>выявлять и эффективно искать информацию, необходимую для решения задачи и/или проблемы</w:t>
            </w:r>
          </w:p>
        </w:tc>
      </w:tr>
      <w:tr>
        <w:trPr>
          <w:trHeight w:val="20"/>
        </w:trPr>
        <w:tc>
          <w:tcPr>
            <w:cnfStyle w:val="001000100000"/>
            <w:tcW w:w="363" w:type="pct"/>
            <w:vMerge w:val="continue"/>
          </w:tcPr>
          <w:p w14:paraId="00000091">
            <w:pPr>
              <w:jc w:val="center"/>
              <w:rPr>
                <w:rFonts w:eastAsia="Calibri"/>
                <w:iCs/>
                <w:color w:val="auto"/>
                <w:szCs w:val="24"/>
                <w:lang w:eastAsia="en-US"/>
              </w:rPr>
            </w:pPr>
          </w:p>
        </w:tc>
        <w:tc>
          <w:tcPr>
            <w:cnfStyle w:val="000000100000"/>
            <w:tcW w:w="1027" w:type="pct"/>
            <w:vMerge w:val="continue"/>
          </w:tcPr>
          <w:p w14:paraId="00000092">
            <w:pPr>
              <w:rPr>
                <w:rFonts w:eastAsia="Calibri"/>
                <w:iCs/>
                <w:color w:val="auto"/>
                <w:szCs w:val="24"/>
                <w:lang w:eastAsia="en-US"/>
              </w:rPr>
            </w:pPr>
          </w:p>
        </w:tc>
        <w:tc>
          <w:tcPr>
            <w:cnfStyle w:val="000000100000"/>
            <w:tcW w:w="3610" w:type="pct"/>
            <w:shd w:val="clear" w:color="auto" w:fill="auto"/>
          </w:tcPr>
          <w:p w14:paraId="00000093">
            <w:pPr>
              <w:jc w:val="both"/>
              <w:rPr>
                <w:rFonts w:eastAsia="Calibri"/>
                <w:iCs/>
                <w:color w:val="auto"/>
                <w:szCs w:val="24"/>
                <w:lang w:eastAsia="en-US"/>
              </w:rPr>
            </w:pPr>
            <w:r>
              <w:rPr>
                <w:rFonts w:eastAsia="Calibri"/>
                <w:iCs/>
                <w:color w:val="auto"/>
                <w:szCs w:val="24"/>
                <w:lang w:eastAsia="en-US"/>
              </w:rPr>
              <w:t>владеть актуальными методами работы в профессиональной и смежных сферах</w:t>
            </w:r>
          </w:p>
        </w:tc>
      </w:tr>
      <w:tr>
        <w:trPr>
          <w:trHeight w:val="20"/>
        </w:trPr>
        <w:tc>
          <w:tcPr>
            <w:cnfStyle w:val="001000010000"/>
            <w:tcW w:w="363" w:type="pct"/>
            <w:vMerge w:val="continue"/>
          </w:tcPr>
          <w:p w14:paraId="00000094">
            <w:pPr>
              <w:jc w:val="center"/>
              <w:rPr>
                <w:rFonts w:eastAsia="Calibri"/>
                <w:iCs/>
                <w:color w:val="auto"/>
                <w:szCs w:val="24"/>
                <w:lang w:eastAsia="en-US"/>
              </w:rPr>
            </w:pPr>
          </w:p>
        </w:tc>
        <w:tc>
          <w:tcPr>
            <w:cnfStyle w:val="000000010000"/>
            <w:tcW w:w="1027" w:type="pct"/>
            <w:vMerge w:val="continue"/>
          </w:tcPr>
          <w:p w14:paraId="00000095">
            <w:pPr>
              <w:rPr>
                <w:rFonts w:eastAsia="Calibri"/>
                <w:iCs/>
                <w:color w:val="auto"/>
                <w:szCs w:val="24"/>
                <w:lang w:eastAsia="en-US"/>
              </w:rPr>
            </w:pPr>
          </w:p>
        </w:tc>
        <w:tc>
          <w:tcPr>
            <w:cnfStyle w:val="000000010000"/>
            <w:tcW w:w="3610" w:type="pct"/>
            <w:shd w:val="clear" w:color="auto" w:fill="auto"/>
          </w:tcPr>
          <w:p w14:paraId="00000096">
            <w:pPr>
              <w:jc w:val="both"/>
              <w:rPr>
                <w:rFonts w:eastAsia="Calibri"/>
                <w:iCs/>
                <w:color w:val="auto"/>
                <w:szCs w:val="24"/>
                <w:lang w:eastAsia="en-US"/>
              </w:rPr>
            </w:pPr>
            <w:r>
              <w:rPr>
                <w:rFonts w:eastAsia="Calibri"/>
                <w:iCs/>
                <w:color w:val="auto"/>
                <w:szCs w:val="24"/>
                <w:lang w:eastAsia="en-US"/>
              </w:rPr>
              <w:t>оценивать результат и последствия своих действий (самостоятельно или с помощью наставника)</w:t>
            </w:r>
          </w:p>
        </w:tc>
      </w:tr>
      <w:tr>
        <w:trPr>
          <w:trHeight w:val="20"/>
        </w:trPr>
        <w:tc>
          <w:tcPr>
            <w:cnfStyle w:val="001000100000"/>
            <w:tcW w:w="363" w:type="pct"/>
            <w:vMerge w:val="continue"/>
          </w:tcPr>
          <w:p w14:paraId="00000097">
            <w:pPr>
              <w:jc w:val="center"/>
              <w:rPr>
                <w:rFonts w:eastAsia="Calibri"/>
                <w:iCs/>
                <w:color w:val="auto"/>
                <w:szCs w:val="24"/>
                <w:lang w:eastAsia="en-US"/>
              </w:rPr>
            </w:pPr>
          </w:p>
        </w:tc>
        <w:tc>
          <w:tcPr>
            <w:cnfStyle w:val="000000100000"/>
            <w:tcW w:w="1027" w:type="pct"/>
            <w:vMerge w:val="continue"/>
          </w:tcPr>
          <w:p w14:paraId="00000098">
            <w:pPr>
              <w:rPr>
                <w:rFonts w:eastAsia="Calibri"/>
                <w:iCs/>
                <w:color w:val="auto"/>
                <w:szCs w:val="24"/>
                <w:lang w:eastAsia="en-US"/>
              </w:rPr>
            </w:pPr>
          </w:p>
        </w:tc>
        <w:tc>
          <w:tcPr>
            <w:cnfStyle w:val="000000100000"/>
            <w:tcW w:w="3610" w:type="pct"/>
            <w:shd w:val="clear" w:color="auto" w:fill="auto"/>
          </w:tcPr>
          <w:p w14:paraId="00000099">
            <w:pPr>
              <w:jc w:val="both"/>
              <w:rPr>
                <w:rFonts w:eastAsia="Calibri"/>
                <w:iCs/>
                <w:color w:val="auto"/>
                <w:szCs w:val="24"/>
                <w:lang w:eastAsia="en-US"/>
              </w:rPr>
            </w:pPr>
            <w:r>
              <w:rPr>
                <w:rFonts w:eastAsia="Calibri"/>
                <w:b/>
                <w:iCs/>
                <w:color w:val="auto"/>
                <w:szCs w:val="24"/>
                <w:lang w:eastAsia="en-US"/>
              </w:rPr>
              <w:t>Знания:</w:t>
            </w:r>
          </w:p>
        </w:tc>
      </w:tr>
      <w:tr>
        <w:trPr>
          <w:trHeight w:val="20"/>
        </w:trPr>
        <w:tc>
          <w:tcPr>
            <w:cnfStyle w:val="001000010000"/>
            <w:tcW w:w="363" w:type="pct"/>
            <w:vMerge w:val="continue"/>
          </w:tcPr>
          <w:p w14:paraId="0000009A">
            <w:pPr>
              <w:jc w:val="center"/>
              <w:rPr>
                <w:rFonts w:eastAsia="Calibri"/>
                <w:iCs/>
                <w:color w:val="auto"/>
                <w:szCs w:val="24"/>
                <w:lang w:eastAsia="en-US"/>
              </w:rPr>
            </w:pPr>
          </w:p>
        </w:tc>
        <w:tc>
          <w:tcPr>
            <w:cnfStyle w:val="000000010000"/>
            <w:tcW w:w="1027" w:type="pct"/>
            <w:vMerge w:val="continue"/>
          </w:tcPr>
          <w:p w14:paraId="0000009B">
            <w:pPr>
              <w:rPr>
                <w:rFonts w:eastAsia="Calibri"/>
                <w:color w:val="auto"/>
                <w:szCs w:val="24"/>
                <w:lang w:eastAsia="en-US"/>
              </w:rPr>
            </w:pPr>
          </w:p>
        </w:tc>
        <w:tc>
          <w:tcPr>
            <w:cnfStyle w:val="000000010000"/>
            <w:tcW w:w="3610" w:type="pct"/>
            <w:shd w:val="clear" w:color="auto" w:fill="auto"/>
          </w:tcPr>
          <w:p w14:paraId="0000009C">
            <w:pPr>
              <w:jc w:val="both"/>
              <w:rPr>
                <w:rFonts w:eastAsia="Calibri"/>
                <w:bCs/>
                <w:color w:val="auto"/>
                <w:szCs w:val="24"/>
                <w:lang w:eastAsia="en-US"/>
              </w:rPr>
            </w:pPr>
            <w:r>
              <w:rPr>
                <w:rFonts w:eastAsia="Calibri"/>
                <w:iCs/>
                <w:color w:val="auto"/>
                <w:szCs w:val="24"/>
                <w:lang w:eastAsia="en-US"/>
              </w:rPr>
              <w:t>а</w:t>
            </w:r>
            <w:r>
              <w:rPr>
                <w:rFonts w:eastAsia="Calibri"/>
                <w:bCs/>
                <w:color w:val="auto"/>
                <w:szCs w:val="24"/>
                <w:lang w:eastAsia="en-US"/>
              </w:rPr>
              <w:t xml:space="preserve">ктуальный профессиональный и социальный контекст, в котором приходится работать и жить </w:t>
            </w:r>
          </w:p>
        </w:tc>
      </w:tr>
      <w:tr>
        <w:trPr>
          <w:trHeight w:val="270"/>
        </w:trPr>
        <w:tc>
          <w:tcPr>
            <w:cnfStyle w:val="001000100000"/>
            <w:tcW w:w="363" w:type="pct"/>
            <w:vMerge w:val="continue"/>
          </w:tcPr>
          <w:p w14:paraId="0000009D">
            <w:pPr>
              <w:jc w:val="center"/>
              <w:rPr>
                <w:rFonts w:eastAsia="Calibri"/>
                <w:iCs/>
                <w:color w:val="auto"/>
                <w:szCs w:val="24"/>
                <w:lang w:eastAsia="en-US"/>
              </w:rPr>
            </w:pPr>
          </w:p>
        </w:tc>
        <w:tc>
          <w:tcPr>
            <w:cnfStyle w:val="000000100000"/>
            <w:tcW w:w="1027" w:type="pct"/>
            <w:vMerge w:val="continue"/>
          </w:tcPr>
          <w:p w14:paraId="0000009E">
            <w:pPr>
              <w:rPr>
                <w:rFonts w:eastAsia="Calibri"/>
                <w:color w:val="auto"/>
                <w:szCs w:val="24"/>
                <w:lang w:eastAsia="en-US"/>
              </w:rPr>
            </w:pPr>
          </w:p>
        </w:tc>
        <w:tc>
          <w:tcPr>
            <w:cnfStyle w:val="000000100000"/>
            <w:tcW w:w="3610" w:type="pct"/>
            <w:shd w:val="clear" w:color="auto" w:fill="auto"/>
          </w:tcPr>
          <w:p w14:paraId="0000009F">
            <w:pPr>
              <w:jc w:val="both"/>
              <w:rPr>
                <w:rFonts w:eastAsia="Calibri"/>
                <w:iCs/>
                <w:color w:val="auto"/>
                <w:szCs w:val="24"/>
                <w:lang w:eastAsia="en-US"/>
              </w:rPr>
            </w:pPr>
            <w:r>
              <w:rPr>
                <w:rFonts w:eastAsia="Calibri"/>
                <w:bCs/>
                <w:color w:val="auto"/>
                <w:szCs w:val="24"/>
                <w:lang w:eastAsia="en-US"/>
              </w:rPr>
              <w:t>структура плана для решения задач, алгоритмы выполнения работ в профессиональной и смежных областях</w:t>
            </w:r>
          </w:p>
        </w:tc>
      </w:tr>
      <w:tr>
        <w:trPr>
          <w:trHeight w:val="20"/>
        </w:trPr>
        <w:tc>
          <w:tcPr>
            <w:cnfStyle w:val="001000010000"/>
            <w:tcW w:w="363" w:type="pct"/>
            <w:vMerge w:val="continue"/>
          </w:tcPr>
          <w:p w14:paraId="000000A0">
            <w:pPr>
              <w:jc w:val="center"/>
              <w:rPr>
                <w:rFonts w:eastAsia="Calibri"/>
                <w:iCs/>
                <w:color w:val="auto"/>
                <w:szCs w:val="24"/>
                <w:lang w:eastAsia="en-US"/>
              </w:rPr>
            </w:pPr>
          </w:p>
        </w:tc>
        <w:tc>
          <w:tcPr>
            <w:cnfStyle w:val="000000010000"/>
            <w:tcW w:w="1027" w:type="pct"/>
            <w:vMerge w:val="continue"/>
          </w:tcPr>
          <w:p w14:paraId="000000A1">
            <w:pPr>
              <w:rPr>
                <w:rFonts w:eastAsia="Calibri"/>
                <w:color w:val="auto"/>
                <w:szCs w:val="24"/>
                <w:lang w:eastAsia="en-US"/>
              </w:rPr>
            </w:pPr>
          </w:p>
        </w:tc>
        <w:tc>
          <w:tcPr>
            <w:cnfStyle w:val="000000010000"/>
            <w:tcW w:w="3610" w:type="pct"/>
            <w:shd w:val="clear" w:color="auto" w:fill="auto"/>
          </w:tcPr>
          <w:p w14:paraId="000000A2">
            <w:pPr>
              <w:jc w:val="both"/>
              <w:rPr>
                <w:rFonts w:eastAsia="Calibri"/>
                <w:b/>
                <w:iCs/>
                <w:color w:val="auto"/>
                <w:szCs w:val="24"/>
                <w:lang w:eastAsia="en-US"/>
              </w:rPr>
            </w:pPr>
            <w:r>
              <w:rPr>
                <w:rFonts w:eastAsia="Calibri"/>
                <w:bCs/>
                <w:color w:val="auto"/>
                <w:szCs w:val="24"/>
                <w:lang w:eastAsia="en-US"/>
              </w:rPr>
              <w:t>основные источники информации и ресурсы для решения задач и/или проблем в профессиональном и/или социальном контексте</w:t>
            </w:r>
          </w:p>
        </w:tc>
      </w:tr>
      <w:tr>
        <w:trPr>
          <w:trHeight w:val="20"/>
        </w:trPr>
        <w:tc>
          <w:tcPr>
            <w:cnfStyle w:val="001000100000"/>
            <w:tcW w:w="363" w:type="pct"/>
            <w:vMerge w:val="continue"/>
          </w:tcPr>
          <w:p w14:paraId="000000A3">
            <w:pPr>
              <w:jc w:val="center"/>
              <w:rPr>
                <w:rFonts w:eastAsia="Calibri"/>
                <w:iCs/>
                <w:color w:val="auto"/>
                <w:szCs w:val="24"/>
                <w:lang w:eastAsia="en-US"/>
              </w:rPr>
            </w:pPr>
          </w:p>
        </w:tc>
        <w:tc>
          <w:tcPr>
            <w:cnfStyle w:val="000000100000"/>
            <w:tcW w:w="1027" w:type="pct"/>
            <w:vMerge w:val="continue"/>
          </w:tcPr>
          <w:p w14:paraId="000000A4">
            <w:pPr>
              <w:rPr>
                <w:rFonts w:eastAsia="Calibri"/>
                <w:color w:val="auto"/>
                <w:szCs w:val="24"/>
                <w:lang w:eastAsia="en-US"/>
              </w:rPr>
            </w:pPr>
          </w:p>
        </w:tc>
        <w:tc>
          <w:tcPr>
            <w:cnfStyle w:val="000000100000"/>
            <w:tcW w:w="3610" w:type="pct"/>
            <w:shd w:val="clear" w:color="auto" w:fill="auto"/>
          </w:tcPr>
          <w:p w14:paraId="000000A5">
            <w:pPr>
              <w:jc w:val="both"/>
              <w:rPr>
                <w:rFonts w:eastAsia="Calibri"/>
                <w:bCs/>
                <w:color w:val="auto"/>
                <w:szCs w:val="24"/>
                <w:lang w:eastAsia="en-US"/>
              </w:rPr>
            </w:pPr>
            <w:r>
              <w:rPr>
                <w:rFonts w:eastAsia="Calibri"/>
                <w:bCs/>
                <w:color w:val="auto"/>
                <w:szCs w:val="24"/>
                <w:lang w:eastAsia="en-US"/>
              </w:rPr>
              <w:t>методы работы в профессиональной и смежных сферах</w:t>
            </w:r>
          </w:p>
        </w:tc>
      </w:tr>
      <w:tr>
        <w:trPr>
          <w:trHeight w:val="20"/>
        </w:trPr>
        <w:tc>
          <w:tcPr>
            <w:cnfStyle w:val="001000010000"/>
            <w:tcW w:w="363" w:type="pct"/>
            <w:vMerge w:val="continue"/>
          </w:tcPr>
          <w:p w14:paraId="000000A6">
            <w:pPr>
              <w:jc w:val="center"/>
              <w:rPr>
                <w:rFonts w:eastAsia="Calibri"/>
                <w:iCs/>
                <w:color w:val="auto"/>
                <w:szCs w:val="24"/>
                <w:lang w:eastAsia="en-US"/>
              </w:rPr>
            </w:pPr>
          </w:p>
        </w:tc>
        <w:tc>
          <w:tcPr>
            <w:cnfStyle w:val="000000010000"/>
            <w:tcW w:w="1027" w:type="pct"/>
            <w:vMerge w:val="continue"/>
          </w:tcPr>
          <w:p w14:paraId="000000A7">
            <w:pPr>
              <w:rPr>
                <w:rFonts w:eastAsia="Calibri"/>
                <w:color w:val="auto"/>
                <w:szCs w:val="24"/>
                <w:lang w:eastAsia="en-US"/>
              </w:rPr>
            </w:pPr>
          </w:p>
        </w:tc>
        <w:tc>
          <w:tcPr>
            <w:cnfStyle w:val="000000010000"/>
            <w:tcW w:w="3610" w:type="pct"/>
            <w:shd w:val="clear" w:color="auto" w:fill="auto"/>
          </w:tcPr>
          <w:p w14:paraId="000000A8">
            <w:pPr>
              <w:jc w:val="both"/>
              <w:rPr>
                <w:rFonts w:eastAsia="Calibri"/>
                <w:bCs/>
                <w:color w:val="auto"/>
                <w:szCs w:val="24"/>
                <w:lang w:eastAsia="en-US"/>
              </w:rPr>
            </w:pPr>
            <w:r>
              <w:rPr>
                <w:rFonts w:eastAsia="Calibri"/>
                <w:bCs/>
                <w:color w:val="auto"/>
                <w:szCs w:val="24"/>
                <w:lang w:eastAsia="en-US"/>
              </w:rPr>
              <w:t>порядок оценки результатов решения задач профессиональной деятельности</w:t>
            </w:r>
          </w:p>
        </w:tc>
      </w:tr>
      <w:tr>
        <w:trPr>
          <w:trHeight w:val="110"/>
        </w:trPr>
        <w:tc>
          <w:tcPr>
            <w:cnfStyle w:val="001000100000"/>
            <w:tcW w:w="363" w:type="pct"/>
            <w:vMerge w:val="restart"/>
          </w:tcPr>
          <w:p w14:paraId="000000A9">
            <w:pPr>
              <w:jc w:val="center"/>
              <w:rPr>
                <w:rFonts w:eastAsia="Calibri"/>
                <w:iCs/>
                <w:color w:val="auto"/>
                <w:szCs w:val="24"/>
                <w:lang w:eastAsia="en-US"/>
              </w:rPr>
            </w:pPr>
            <w:r>
              <w:rPr>
                <w:rFonts w:eastAsia="Calibri"/>
                <w:iCs/>
                <w:color w:val="auto"/>
                <w:szCs w:val="24"/>
                <w:lang w:eastAsia="en-US"/>
              </w:rPr>
              <w:t>ОК 04</w:t>
            </w:r>
          </w:p>
        </w:tc>
        <w:tc>
          <w:tcPr>
            <w:cnfStyle w:val="000000100000"/>
            <w:tcW w:w="1027" w:type="pct"/>
            <w:vMerge w:val="restart"/>
          </w:tcPr>
          <w:p w14:paraId="000000AA">
            <w:pPr>
              <w:rPr>
                <w:rFonts w:eastAsia="Calibri"/>
                <w:color w:val="auto"/>
                <w:szCs w:val="24"/>
                <w:lang w:eastAsia="en-US"/>
              </w:rPr>
            </w:pPr>
            <w:r>
              <w:rPr>
                <w:rFonts w:eastAsia="Calibri"/>
                <w:color w:val="auto"/>
                <w:szCs w:val="24"/>
                <w:lang w:eastAsia="en-US"/>
              </w:rPr>
              <w:t>Эффективно взаимодействовать и работать в коллективе и команде</w:t>
            </w:r>
          </w:p>
        </w:tc>
        <w:tc>
          <w:tcPr>
            <w:cnfStyle w:val="000000100000"/>
            <w:tcW w:w="3610" w:type="pct"/>
            <w:shd w:val="clear" w:color="auto" w:fill="auto"/>
          </w:tcPr>
          <w:p w14:paraId="000000AB">
            <w:pPr>
              <w:jc w:val="both"/>
              <w:rPr>
                <w:rFonts w:eastAsia="Calibri"/>
                <w:b/>
                <w:bCs/>
                <w:iCs/>
                <w:color w:val="auto"/>
                <w:szCs w:val="24"/>
                <w:lang w:eastAsia="en-US"/>
              </w:rPr>
            </w:pPr>
            <w:r>
              <w:rPr>
                <w:rFonts w:eastAsia="Calibri"/>
                <w:b/>
                <w:bCs/>
                <w:iCs/>
                <w:color w:val="auto"/>
                <w:spacing w:val="-4"/>
                <w:szCs w:val="24"/>
                <w:lang w:eastAsia="en-US"/>
              </w:rPr>
              <w:t xml:space="preserve">Умения: </w:t>
            </w:r>
          </w:p>
        </w:tc>
      </w:tr>
      <w:tr>
        <w:trPr>
          <w:trHeight w:val="20"/>
        </w:trPr>
        <w:tc>
          <w:tcPr>
            <w:cnfStyle w:val="001000010000"/>
            <w:tcW w:w="363" w:type="pct"/>
            <w:vMerge w:val="continue"/>
          </w:tcPr>
          <w:p w14:paraId="000000AC">
            <w:pPr>
              <w:jc w:val="center"/>
              <w:rPr>
                <w:rFonts w:eastAsia="Calibri"/>
                <w:iCs/>
                <w:color w:val="auto"/>
                <w:szCs w:val="24"/>
                <w:lang w:eastAsia="en-US"/>
              </w:rPr>
            </w:pPr>
          </w:p>
        </w:tc>
        <w:tc>
          <w:tcPr>
            <w:cnfStyle w:val="000000010000"/>
            <w:tcW w:w="1027" w:type="pct"/>
            <w:vMerge w:val="continue"/>
          </w:tcPr>
          <w:p w14:paraId="000000AD">
            <w:pPr>
              <w:rPr>
                <w:rFonts w:eastAsia="Calibri"/>
                <w:color w:val="auto"/>
                <w:szCs w:val="24"/>
                <w:lang w:eastAsia="en-US"/>
              </w:rPr>
            </w:pPr>
          </w:p>
        </w:tc>
        <w:tc>
          <w:tcPr>
            <w:cnfStyle w:val="000000010000"/>
            <w:tcW w:w="3610" w:type="pct"/>
            <w:shd w:val="clear" w:color="auto" w:fill="auto"/>
          </w:tcPr>
          <w:p w14:paraId="000000AE">
            <w:pPr>
              <w:jc w:val="both"/>
              <w:rPr>
                <w:rFonts w:eastAsia="Calibri"/>
                <w:b/>
                <w:bCs/>
                <w:iCs/>
                <w:color w:val="auto"/>
                <w:spacing w:val="-4"/>
                <w:szCs w:val="24"/>
                <w:lang w:eastAsia="en-US"/>
              </w:rPr>
            </w:pPr>
            <w:r>
              <w:rPr>
                <w:rFonts w:eastAsia="Calibri"/>
                <w:bCs/>
                <w:color w:val="auto"/>
                <w:spacing w:val="-4"/>
                <w:szCs w:val="24"/>
                <w:lang w:eastAsia="en-US"/>
              </w:rPr>
              <w:t>организовывать работу коллектива и команды</w:t>
            </w:r>
          </w:p>
        </w:tc>
      </w:tr>
      <w:tr>
        <w:trPr>
          <w:trHeight w:val="20"/>
        </w:trPr>
        <w:tc>
          <w:tcPr>
            <w:cnfStyle w:val="001000100000"/>
            <w:tcW w:w="363" w:type="pct"/>
            <w:vMerge w:val="continue"/>
          </w:tcPr>
          <w:p w14:paraId="000000AF">
            <w:pPr>
              <w:jc w:val="center"/>
              <w:rPr>
                <w:rFonts w:eastAsia="Calibri"/>
                <w:iCs/>
                <w:color w:val="auto"/>
                <w:szCs w:val="24"/>
                <w:lang w:eastAsia="en-US"/>
              </w:rPr>
            </w:pPr>
          </w:p>
        </w:tc>
        <w:tc>
          <w:tcPr>
            <w:cnfStyle w:val="000000100000"/>
            <w:tcW w:w="1027" w:type="pct"/>
            <w:vMerge w:val="continue"/>
          </w:tcPr>
          <w:p w14:paraId="000000B0">
            <w:pPr>
              <w:rPr>
                <w:rFonts w:eastAsia="Calibri"/>
                <w:color w:val="auto"/>
                <w:szCs w:val="24"/>
                <w:lang w:eastAsia="en-US"/>
              </w:rPr>
            </w:pPr>
          </w:p>
        </w:tc>
        <w:tc>
          <w:tcPr>
            <w:cnfStyle w:val="000000100000"/>
            <w:tcW w:w="3610" w:type="pct"/>
            <w:shd w:val="clear" w:color="auto" w:fill="auto"/>
          </w:tcPr>
          <w:p w14:paraId="000000B1">
            <w:pPr>
              <w:jc w:val="both"/>
              <w:rPr>
                <w:rFonts w:eastAsia="Calibri"/>
                <w:b/>
                <w:bCs/>
                <w:iCs/>
                <w:color w:val="auto"/>
                <w:spacing w:val="-4"/>
                <w:szCs w:val="24"/>
                <w:lang w:eastAsia="en-US"/>
              </w:rPr>
            </w:pPr>
            <w:r>
              <w:rPr>
                <w:rFonts w:eastAsia="Calibri"/>
                <w:bCs/>
                <w:color w:val="auto"/>
                <w:spacing w:val="-4"/>
                <w:szCs w:val="24"/>
                <w:lang w:eastAsia="en-US"/>
              </w:rPr>
              <w:t>взаимодействовать с коллегами, руководством, клиентами в ходе профессиональной деятельности</w:t>
            </w:r>
          </w:p>
        </w:tc>
      </w:tr>
      <w:tr>
        <w:trPr>
          <w:trHeight w:val="20"/>
        </w:trPr>
        <w:tc>
          <w:tcPr>
            <w:cnfStyle w:val="001000010000"/>
            <w:tcW w:w="363" w:type="pct"/>
            <w:vMerge w:val="continue"/>
          </w:tcPr>
          <w:p w14:paraId="000000B2">
            <w:pPr>
              <w:jc w:val="center"/>
              <w:rPr>
                <w:rFonts w:eastAsia="Calibri"/>
                <w:iCs/>
                <w:color w:val="auto"/>
                <w:szCs w:val="24"/>
                <w:lang w:eastAsia="en-US"/>
              </w:rPr>
            </w:pPr>
          </w:p>
        </w:tc>
        <w:tc>
          <w:tcPr>
            <w:cnfStyle w:val="000000010000"/>
            <w:tcW w:w="1027" w:type="pct"/>
            <w:vMerge w:val="continue"/>
          </w:tcPr>
          <w:p w14:paraId="000000B3">
            <w:pPr>
              <w:rPr>
                <w:rFonts w:eastAsia="Calibri"/>
                <w:color w:val="auto"/>
                <w:szCs w:val="24"/>
                <w:lang w:eastAsia="en-US"/>
              </w:rPr>
            </w:pPr>
          </w:p>
        </w:tc>
        <w:tc>
          <w:tcPr>
            <w:cnfStyle w:val="000000010000"/>
            <w:tcW w:w="3610" w:type="pct"/>
            <w:shd w:val="clear" w:color="auto" w:fill="auto"/>
          </w:tcPr>
          <w:p w14:paraId="000000B4">
            <w:pPr>
              <w:jc w:val="both"/>
              <w:rPr>
                <w:rFonts w:eastAsia="Calibri"/>
                <w:bCs/>
                <w:color w:val="auto"/>
                <w:spacing w:val="-4"/>
                <w:szCs w:val="24"/>
                <w:lang w:eastAsia="en-US"/>
              </w:rPr>
            </w:pPr>
            <w:r>
              <w:rPr>
                <w:rFonts w:eastAsia="Calibri"/>
                <w:b/>
                <w:bCs/>
                <w:iCs/>
                <w:color w:val="auto"/>
                <w:szCs w:val="24"/>
                <w:lang w:eastAsia="en-US"/>
              </w:rPr>
              <w:t>Знания:</w:t>
            </w:r>
          </w:p>
        </w:tc>
      </w:tr>
      <w:tr>
        <w:trPr>
          <w:trHeight w:val="20"/>
        </w:trPr>
        <w:tc>
          <w:tcPr>
            <w:cnfStyle w:val="001000100000"/>
            <w:tcW w:w="363" w:type="pct"/>
            <w:vMerge w:val="continue"/>
          </w:tcPr>
          <w:p w14:paraId="000000B5">
            <w:pPr>
              <w:jc w:val="center"/>
              <w:rPr>
                <w:rFonts w:eastAsia="Calibri"/>
                <w:iCs/>
                <w:color w:val="auto"/>
                <w:szCs w:val="24"/>
                <w:lang w:eastAsia="en-US"/>
              </w:rPr>
            </w:pPr>
          </w:p>
        </w:tc>
        <w:tc>
          <w:tcPr>
            <w:cnfStyle w:val="000000100000"/>
            <w:tcW w:w="1027" w:type="pct"/>
            <w:vMerge w:val="continue"/>
          </w:tcPr>
          <w:p w14:paraId="000000B6">
            <w:pPr>
              <w:rPr>
                <w:rFonts w:eastAsia="Calibri"/>
                <w:color w:val="auto"/>
                <w:szCs w:val="24"/>
                <w:lang w:eastAsia="en-US"/>
              </w:rPr>
            </w:pPr>
          </w:p>
        </w:tc>
        <w:tc>
          <w:tcPr>
            <w:cnfStyle w:val="000000100000"/>
            <w:tcW w:w="3610" w:type="pct"/>
            <w:shd w:val="clear" w:color="auto" w:fill="auto"/>
          </w:tcPr>
          <w:p w14:paraId="000000B7">
            <w:pPr>
              <w:jc w:val="both"/>
              <w:rPr>
                <w:rFonts w:eastAsia="Calibri"/>
                <w:b/>
                <w:bCs/>
                <w:iCs/>
                <w:color w:val="auto"/>
                <w:spacing w:val="-4"/>
                <w:szCs w:val="24"/>
                <w:lang w:eastAsia="en-US"/>
              </w:rPr>
            </w:pPr>
            <w:r>
              <w:rPr>
                <w:rFonts w:eastAsia="Calibri"/>
                <w:bCs/>
                <w:color w:val="auto"/>
                <w:szCs w:val="24"/>
                <w:lang w:eastAsia="en-US"/>
              </w:rPr>
              <w:t>психологические основы деятельности коллектива</w:t>
            </w:r>
          </w:p>
        </w:tc>
      </w:tr>
      <w:tr>
        <w:trPr>
          <w:trHeight w:val="20"/>
        </w:trPr>
        <w:tc>
          <w:tcPr>
            <w:cnfStyle w:val="001000010000"/>
            <w:tcW w:w="363" w:type="pct"/>
            <w:vMerge w:val="continue"/>
          </w:tcPr>
          <w:p w14:paraId="000000B8">
            <w:pPr>
              <w:jc w:val="center"/>
              <w:rPr>
                <w:rFonts w:eastAsia="Calibri"/>
                <w:iCs/>
                <w:color w:val="auto"/>
                <w:szCs w:val="24"/>
                <w:lang w:eastAsia="en-US"/>
              </w:rPr>
            </w:pPr>
          </w:p>
        </w:tc>
        <w:tc>
          <w:tcPr>
            <w:cnfStyle w:val="000000010000"/>
            <w:tcW w:w="1027" w:type="pct"/>
            <w:vMerge w:val="continue"/>
          </w:tcPr>
          <w:p w14:paraId="000000B9">
            <w:pPr>
              <w:rPr>
                <w:rFonts w:eastAsia="Calibri"/>
                <w:color w:val="auto"/>
                <w:szCs w:val="24"/>
                <w:lang w:eastAsia="en-US"/>
              </w:rPr>
            </w:pPr>
          </w:p>
        </w:tc>
        <w:tc>
          <w:tcPr>
            <w:cnfStyle w:val="000000010000"/>
            <w:tcW w:w="3610" w:type="pct"/>
            <w:shd w:val="clear" w:color="auto" w:fill="auto"/>
          </w:tcPr>
          <w:p w14:paraId="000000BA">
            <w:pPr>
              <w:jc w:val="both"/>
              <w:rPr>
                <w:rFonts w:eastAsia="Calibri"/>
                <w:bCs/>
                <w:color w:val="auto"/>
                <w:szCs w:val="24"/>
                <w:lang w:eastAsia="en-US"/>
              </w:rPr>
            </w:pPr>
            <w:r>
              <w:rPr>
                <w:rFonts w:eastAsia="Calibri"/>
                <w:bCs/>
                <w:color w:val="auto"/>
                <w:szCs w:val="24"/>
                <w:lang w:eastAsia="en-US"/>
              </w:rPr>
              <w:t>психологические особенности личности</w:t>
            </w:r>
          </w:p>
        </w:tc>
      </w:tr>
      <w:tr>
        <w:trPr>
          <w:trHeight w:val="20"/>
        </w:trPr>
        <w:tc>
          <w:tcPr>
            <w:cnfStyle w:val="001000100000"/>
            <w:tcW w:w="363" w:type="pct"/>
            <w:vMerge w:val="continue"/>
          </w:tcPr>
          <w:p w14:paraId="000000BB">
            <w:pPr>
              <w:jc w:val="center"/>
              <w:rPr>
                <w:rFonts w:eastAsia="Calibri"/>
                <w:iCs/>
                <w:color w:val="auto"/>
                <w:szCs w:val="24"/>
                <w:lang w:eastAsia="en-US"/>
              </w:rPr>
            </w:pPr>
          </w:p>
        </w:tc>
        <w:tc>
          <w:tcPr>
            <w:cnfStyle w:val="000000100000"/>
            <w:tcW w:w="1027" w:type="pct"/>
            <w:vMerge w:val="continue"/>
          </w:tcPr>
          <w:p w14:paraId="000000BC">
            <w:pPr>
              <w:rPr>
                <w:rFonts w:eastAsia="Calibri"/>
                <w:color w:val="auto"/>
                <w:szCs w:val="24"/>
                <w:lang w:eastAsia="en-US"/>
              </w:rPr>
            </w:pPr>
          </w:p>
        </w:tc>
        <w:tc>
          <w:tcPr>
            <w:cnfStyle w:val="000000100000"/>
            <w:tcW w:w="3610" w:type="pct"/>
            <w:shd w:val="clear" w:color="auto" w:fill="auto"/>
          </w:tcPr>
          <w:p w14:paraId="000000BD">
            <w:pPr>
              <w:jc w:val="both"/>
              <w:rPr>
                <w:rFonts w:eastAsia="Calibri"/>
                <w:b/>
                <w:bCs/>
                <w:iCs/>
                <w:color w:val="auto"/>
                <w:szCs w:val="24"/>
                <w:lang w:eastAsia="en-US"/>
              </w:rPr>
            </w:pPr>
            <w:r>
              <w:rPr>
                <w:rFonts w:eastAsiaTheme="minorHAnsi"/>
                <w:bCs/>
                <w:color w:val="auto"/>
                <w:szCs w:val="24"/>
                <w:lang w:eastAsia="en-US"/>
              </w:rPr>
              <w:t>основы проектной деятельности</w:t>
            </w:r>
          </w:p>
        </w:tc>
      </w:tr>
    </w:tbl>
    <w:p w14:paraId="000000BE">
      <w:pPr>
        <w:pStyle w:val="Normal(Web)"/>
        <w:rPr>
          <w:lang w:eastAsia="nl-NL"/>
        </w:rPr>
      </w:pPr>
    </w:p>
    <w:p w14:paraId="000000BF">
      <w:pPr>
        <w:numPr>
          <w:ilvl w:val="0"/>
          <w:numId w:val="3"/>
        </w:numPr>
        <w:ind w:left="0"/>
        <w:jc w:val="center"/>
        <w:rPr>
          <w:b/>
          <w:szCs w:val="24"/>
        </w:rPr>
      </w:pPr>
      <w:r>
        <w:rPr>
          <w:b/>
          <w:szCs w:val="24"/>
        </w:rPr>
        <w:t>СТРУКТУРА И СОДЕРЖАНИЕ ДИСЦИПЛИНЫ</w:t>
      </w:r>
    </w:p>
    <w:p w14:paraId="000000C0">
      <w:pPr>
        <w:numPr>
          <w:ilvl w:val="1"/>
          <w:numId w:val="3"/>
        </w:numPr>
        <w:rPr>
          <w:b/>
          <w:szCs w:val="24"/>
        </w:rPr>
      </w:pPr>
      <w:r>
        <w:rPr>
          <w:b/>
          <w:szCs w:val="24"/>
        </w:rPr>
        <w:t>Объем дисциплины и виды учебной работы</w:t>
      </w:r>
    </w:p>
    <w:p w14:paraId="000000C1">
      <w:pPr>
        <w:ind w:left="720"/>
        <w:rPr>
          <w:b/>
          <w:szCs w:val="24"/>
        </w:rPr>
      </w:pP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tblPr>
      <w:tblGrid>
        <w:gridCol w:w="7572"/>
        <w:gridCol w:w="1772"/>
      </w:tblGrid>
      <w:tr>
        <w:trPr/>
        <w:tc>
          <w:tcPr>
            <w:cnfStyle w:val="101000000000"/>
            <w:tcW w:w="7572" w:type="dxa"/>
            <w:tcBorders>
              <w:top w:val="single" w:color="000000" w:sz="4" w:space="0"/>
              <w:left w:val="single" w:color="000000" w:sz="4" w:space="0"/>
              <w:bottom w:val="single" w:color="000000" w:sz="4" w:space="0"/>
              <w:right w:val="single" w:color="000000" w:sz="4" w:space="0"/>
            </w:tcBorders>
          </w:tcPr>
          <w:p w14:paraId="000000C2">
            <w:pPr>
              <w:jc w:val="center"/>
              <w:rPr>
                <w:rFonts w:eastAsia="Calibri"/>
                <w:b/>
                <w:szCs w:val="24"/>
              </w:rPr>
            </w:pPr>
            <w:r>
              <w:rPr>
                <w:rFonts w:eastAsia="Calibri"/>
                <w:b/>
                <w:szCs w:val="24"/>
              </w:rPr>
              <w:t>Вид учебной работы</w:t>
            </w:r>
          </w:p>
        </w:tc>
        <w:tc>
          <w:tcPr>
            <w:cnfStyle w:val="100000000000"/>
            <w:tcW w:w="1772" w:type="dxa"/>
            <w:tcBorders>
              <w:top w:val="single" w:color="000000" w:sz="4" w:space="0"/>
              <w:left w:val="single" w:color="000000" w:sz="4" w:space="0"/>
              <w:bottom w:val="single" w:color="000000" w:sz="4" w:space="0"/>
              <w:right w:val="single" w:color="000000" w:sz="4" w:space="0"/>
            </w:tcBorders>
          </w:tcPr>
          <w:p w14:paraId="000000C3">
            <w:pPr>
              <w:jc w:val="both"/>
              <w:rPr>
                <w:rFonts w:eastAsia="Calibri"/>
                <w:b/>
                <w:szCs w:val="24"/>
              </w:rPr>
            </w:pPr>
            <w:r>
              <w:rPr>
                <w:rFonts w:eastAsia="Calibri"/>
                <w:b/>
                <w:szCs w:val="24"/>
              </w:rPr>
              <w:t>Объем часов</w:t>
            </w:r>
          </w:p>
        </w:tc>
      </w:tr>
      <w:tr>
        <w:trPr/>
        <w:tc>
          <w:tcPr>
            <w:cnfStyle w:val="001000100000"/>
            <w:tcW w:w="7572" w:type="dxa"/>
            <w:tcBorders>
              <w:top w:val="single" w:color="000000" w:sz="4" w:space="0"/>
              <w:left w:val="single" w:color="000000" w:sz="4" w:space="0"/>
              <w:bottom w:val="single" w:color="000000" w:sz="4" w:space="0"/>
              <w:right w:val="single" w:color="000000" w:sz="4" w:space="0"/>
            </w:tcBorders>
          </w:tcPr>
          <w:p w14:paraId="000000C4">
            <w:pPr>
              <w:jc w:val="both"/>
              <w:rPr>
                <w:rFonts w:eastAsia="Calibri"/>
                <w:b/>
                <w:szCs w:val="24"/>
              </w:rPr>
            </w:pPr>
            <w:r>
              <w:rPr>
                <w:rFonts w:eastAsia="Calibri"/>
                <w:b/>
                <w:szCs w:val="24"/>
              </w:rPr>
              <w:t>Общая трудоемкость учебной нагрузки (всего)</w:t>
            </w:r>
          </w:p>
        </w:tc>
        <w:tc>
          <w:tcPr>
            <w:cnfStyle w:val="000000100000"/>
            <w:tcW w:w="1772" w:type="dxa"/>
            <w:tcBorders>
              <w:top w:val="single" w:color="000000" w:sz="4" w:space="0"/>
              <w:left w:val="single" w:color="000000" w:sz="4" w:space="0"/>
              <w:bottom w:val="single" w:color="000000" w:sz="4" w:space="0"/>
              <w:right w:val="single" w:color="000000" w:sz="4" w:space="0"/>
            </w:tcBorders>
          </w:tcPr>
          <w:p w14:paraId="000000C5">
            <w:pPr>
              <w:jc w:val="center"/>
              <w:rPr>
                <w:rFonts w:eastAsia="Calibri"/>
                <w:szCs w:val="24"/>
              </w:rPr>
            </w:pPr>
            <w:r>
              <w:rPr>
                <w:rFonts w:eastAsia="Calibri"/>
                <w:szCs w:val="24"/>
              </w:rPr>
              <w:t>72</w:t>
            </w:r>
          </w:p>
        </w:tc>
      </w:tr>
      <w:tr>
        <w:trPr/>
        <w:tc>
          <w:tcPr>
            <w:cnfStyle w:val="001000010000"/>
            <w:tcW w:w="7572" w:type="dxa"/>
            <w:tcBorders>
              <w:top w:val="single" w:color="000000" w:sz="4" w:space="0"/>
              <w:left w:val="single" w:color="000000" w:sz="4" w:space="0"/>
              <w:bottom w:val="single" w:color="000000" w:sz="4" w:space="0"/>
              <w:right w:val="single" w:color="000000" w:sz="4" w:space="0"/>
            </w:tcBorders>
          </w:tcPr>
          <w:p w14:paraId="000000C6">
            <w:pPr>
              <w:jc w:val="both"/>
              <w:rPr>
                <w:rFonts w:eastAsia="Calibri"/>
                <w:b/>
                <w:szCs w:val="24"/>
              </w:rPr>
            </w:pPr>
            <w:r>
              <w:rPr>
                <w:rFonts w:eastAsia="Calibri"/>
                <w:b/>
                <w:szCs w:val="24"/>
              </w:rPr>
              <w:t>Обязательная аудиторная учебная нагрузка (всего)</w:t>
            </w:r>
          </w:p>
        </w:tc>
        <w:tc>
          <w:tcPr>
            <w:cnfStyle w:val="000000010000"/>
            <w:tcW w:w="1772" w:type="dxa"/>
            <w:tcBorders>
              <w:top w:val="single" w:color="000000" w:sz="4" w:space="0"/>
              <w:left w:val="single" w:color="000000" w:sz="4" w:space="0"/>
              <w:bottom w:val="single" w:color="000000" w:sz="4" w:space="0"/>
              <w:right w:val="single" w:color="000000" w:sz="4" w:space="0"/>
            </w:tcBorders>
          </w:tcPr>
          <w:p w14:paraId="000000C7">
            <w:pPr>
              <w:jc w:val="center"/>
              <w:rPr>
                <w:rFonts w:eastAsia="Calibri"/>
                <w:szCs w:val="24"/>
              </w:rPr>
            </w:pPr>
            <w:r>
              <w:rPr>
                <w:rFonts w:eastAsia="Calibri"/>
                <w:szCs w:val="24"/>
              </w:rPr>
              <w:t>34</w:t>
            </w:r>
          </w:p>
        </w:tc>
      </w:tr>
      <w:tr>
        <w:trPr/>
        <w:tc>
          <w:tcPr>
            <w:cnfStyle w:val="001000100000"/>
            <w:tcW w:w="7572" w:type="dxa"/>
            <w:tcBorders>
              <w:top w:val="single" w:color="000000" w:sz="4" w:space="0"/>
              <w:left w:val="single" w:color="000000" w:sz="4" w:space="0"/>
              <w:bottom w:val="single" w:color="000000" w:sz="4" w:space="0"/>
              <w:right w:val="single" w:color="000000" w:sz="4" w:space="0"/>
            </w:tcBorders>
          </w:tcPr>
          <w:p w14:paraId="000000C8">
            <w:pPr>
              <w:jc w:val="both"/>
              <w:rPr>
                <w:rFonts w:eastAsia="Calibri"/>
                <w:szCs w:val="24"/>
              </w:rPr>
            </w:pPr>
            <w:r>
              <w:rPr>
                <w:rFonts w:eastAsia="Calibri"/>
                <w:szCs w:val="24"/>
              </w:rPr>
              <w:t>в том числе:</w:t>
            </w:r>
          </w:p>
        </w:tc>
        <w:tc>
          <w:tcPr>
            <w:cnfStyle w:val="000000100000"/>
            <w:tcW w:w="1772" w:type="dxa"/>
            <w:tcBorders>
              <w:top w:val="single" w:color="000000" w:sz="4" w:space="0"/>
              <w:left w:val="single" w:color="000000" w:sz="4" w:space="0"/>
              <w:bottom w:val="single" w:color="000000" w:sz="4" w:space="0"/>
              <w:right w:val="single" w:color="000000" w:sz="4" w:space="0"/>
            </w:tcBorders>
          </w:tcPr>
          <w:p w14:paraId="000000C9">
            <w:pPr>
              <w:jc w:val="center"/>
              <w:rPr>
                <w:rFonts w:eastAsia="Calibri"/>
                <w:b/>
                <w:szCs w:val="24"/>
              </w:rPr>
            </w:pPr>
          </w:p>
        </w:tc>
      </w:tr>
      <w:tr>
        <w:trPr/>
        <w:tc>
          <w:tcPr>
            <w:cnfStyle w:val="001000010000"/>
            <w:tcW w:w="7572" w:type="dxa"/>
            <w:tcBorders>
              <w:top w:val="single" w:color="000000" w:sz="4" w:space="0"/>
              <w:left w:val="single" w:color="000000" w:sz="4" w:space="0"/>
              <w:bottom w:val="single" w:color="000000" w:sz="4" w:space="0"/>
              <w:right w:val="single" w:color="000000" w:sz="4" w:space="0"/>
            </w:tcBorders>
          </w:tcPr>
          <w:p w14:paraId="000000CA">
            <w:pPr>
              <w:jc w:val="both"/>
              <w:rPr>
                <w:rFonts w:eastAsia="Calibri"/>
                <w:szCs w:val="24"/>
              </w:rPr>
            </w:pPr>
            <w:r>
              <w:rPr>
                <w:rFonts w:eastAsia="Calibri"/>
                <w:szCs w:val="24"/>
              </w:rPr>
              <w:t xml:space="preserve">   теоретические занятия</w:t>
            </w:r>
          </w:p>
        </w:tc>
        <w:tc>
          <w:tcPr>
            <w:cnfStyle w:val="000000010000"/>
            <w:tcW w:w="1772" w:type="dxa"/>
            <w:tcBorders>
              <w:top w:val="single" w:color="000000" w:sz="4" w:space="0"/>
              <w:left w:val="single" w:color="000000" w:sz="4" w:space="0"/>
              <w:bottom w:val="single" w:color="000000" w:sz="4" w:space="0"/>
              <w:right w:val="single" w:color="000000" w:sz="4" w:space="0"/>
            </w:tcBorders>
          </w:tcPr>
          <w:p w14:paraId="000000CB">
            <w:pPr>
              <w:jc w:val="center"/>
              <w:rPr>
                <w:rFonts w:eastAsia="Calibri"/>
                <w:szCs w:val="24"/>
              </w:rPr>
            </w:pPr>
            <w:r>
              <w:rPr>
                <w:rFonts w:eastAsia="Calibri"/>
                <w:szCs w:val="24"/>
              </w:rPr>
              <w:t>34</w:t>
            </w:r>
          </w:p>
        </w:tc>
      </w:tr>
      <w:tr>
        <w:trPr/>
        <w:tc>
          <w:tcPr>
            <w:cnfStyle w:val="001000100000"/>
            <w:tcW w:w="7572" w:type="dxa"/>
            <w:tcBorders>
              <w:top w:val="single" w:color="000000" w:sz="4" w:space="0"/>
              <w:left w:val="single" w:color="000000" w:sz="4" w:space="0"/>
              <w:bottom w:val="single" w:color="000000" w:sz="4" w:space="0"/>
              <w:right w:val="single" w:color="000000" w:sz="4" w:space="0"/>
            </w:tcBorders>
          </w:tcPr>
          <w:p w14:paraId="000000CC">
            <w:pPr>
              <w:jc w:val="both"/>
              <w:rPr>
                <w:rFonts w:eastAsia="Calibri"/>
                <w:b/>
                <w:szCs w:val="24"/>
              </w:rPr>
            </w:pPr>
            <w:r>
              <w:rPr>
                <w:rFonts w:eastAsia="Calibri"/>
                <w:szCs w:val="24"/>
              </w:rPr>
              <w:t xml:space="preserve">   лабораторные занятия</w:t>
            </w:r>
          </w:p>
        </w:tc>
        <w:tc>
          <w:tcPr>
            <w:cnfStyle w:val="000000100000"/>
            <w:tcW w:w="1772" w:type="dxa"/>
            <w:tcBorders>
              <w:top w:val="single" w:color="000000" w:sz="4" w:space="0"/>
              <w:left w:val="single" w:color="000000" w:sz="4" w:space="0"/>
              <w:bottom w:val="single" w:color="000000" w:sz="4" w:space="0"/>
              <w:right w:val="single" w:color="000000" w:sz="4" w:space="0"/>
            </w:tcBorders>
          </w:tcPr>
          <w:p w14:paraId="000000CD">
            <w:pPr>
              <w:jc w:val="center"/>
              <w:rPr>
                <w:rFonts w:eastAsia="Calibri"/>
                <w:b/>
                <w:szCs w:val="24"/>
              </w:rPr>
            </w:pPr>
            <w:r>
              <w:rPr>
                <w:rFonts w:eastAsia="Calibri"/>
                <w:szCs w:val="24"/>
              </w:rPr>
              <w:t>-</w:t>
            </w:r>
          </w:p>
        </w:tc>
      </w:tr>
      <w:tr>
        <w:trPr/>
        <w:tc>
          <w:tcPr>
            <w:cnfStyle w:val="001000010000"/>
            <w:tcW w:w="7572" w:type="dxa"/>
            <w:tcBorders>
              <w:top w:val="single" w:color="000000" w:sz="4" w:space="0"/>
              <w:left w:val="single" w:color="000000" w:sz="4" w:space="0"/>
              <w:bottom w:val="single" w:color="000000" w:sz="4" w:space="0"/>
              <w:right w:val="single" w:color="000000" w:sz="4" w:space="0"/>
            </w:tcBorders>
          </w:tcPr>
          <w:p w14:paraId="000000CE">
            <w:pPr>
              <w:jc w:val="both"/>
              <w:rPr>
                <w:rFonts w:eastAsia="Calibri"/>
                <w:szCs w:val="24"/>
              </w:rPr>
            </w:pPr>
            <w:r>
              <w:rPr>
                <w:rFonts w:eastAsia="Calibri"/>
                <w:szCs w:val="24"/>
              </w:rPr>
              <w:t xml:space="preserve">   практические занятия</w:t>
            </w:r>
          </w:p>
        </w:tc>
        <w:tc>
          <w:tcPr>
            <w:cnfStyle w:val="000000010000"/>
            <w:tcW w:w="1772" w:type="dxa"/>
            <w:tcBorders>
              <w:top w:val="single" w:color="000000" w:sz="4" w:space="0"/>
              <w:left w:val="single" w:color="000000" w:sz="4" w:space="0"/>
              <w:bottom w:val="single" w:color="000000" w:sz="4" w:space="0"/>
              <w:right w:val="single" w:color="000000" w:sz="4" w:space="0"/>
            </w:tcBorders>
          </w:tcPr>
          <w:p w14:paraId="000000CF">
            <w:pPr>
              <w:jc w:val="center"/>
              <w:rPr>
                <w:rFonts w:eastAsia="Calibri"/>
                <w:szCs w:val="24"/>
              </w:rPr>
            </w:pPr>
            <w:r>
              <w:rPr>
                <w:rFonts w:eastAsia="Calibri"/>
                <w:szCs w:val="24"/>
              </w:rPr>
              <w:t>34</w:t>
            </w:r>
          </w:p>
        </w:tc>
      </w:tr>
      <w:tr>
        <w:trPr/>
        <w:tc>
          <w:tcPr>
            <w:cnfStyle w:val="001000100000"/>
            <w:tcW w:w="7572" w:type="dxa"/>
            <w:tcBorders>
              <w:top w:val="single" w:color="000000" w:sz="4" w:space="0"/>
              <w:left w:val="single" w:color="000000" w:sz="4" w:space="0"/>
              <w:bottom w:val="single" w:color="000000" w:sz="4" w:space="0"/>
              <w:right w:val="single" w:color="000000" w:sz="4" w:space="0"/>
            </w:tcBorders>
          </w:tcPr>
          <w:p w14:paraId="000000D0">
            <w:pPr>
              <w:jc w:val="both"/>
              <w:rPr>
                <w:rFonts w:eastAsia="Calibri"/>
                <w:szCs w:val="24"/>
              </w:rPr>
            </w:pPr>
            <w:r>
              <w:rPr>
                <w:rFonts w:eastAsia="Calibri"/>
                <w:szCs w:val="24"/>
              </w:rPr>
              <w:t xml:space="preserve">   контрольные работы</w:t>
            </w:r>
          </w:p>
        </w:tc>
        <w:tc>
          <w:tcPr>
            <w:cnfStyle w:val="000000100000"/>
            <w:tcW w:w="1772" w:type="dxa"/>
            <w:tcBorders>
              <w:top w:val="single" w:color="000000" w:sz="4" w:space="0"/>
              <w:left w:val="single" w:color="000000" w:sz="4" w:space="0"/>
              <w:bottom w:val="single" w:color="000000" w:sz="4" w:space="0"/>
              <w:right w:val="single" w:color="000000" w:sz="4" w:space="0"/>
            </w:tcBorders>
          </w:tcPr>
          <w:p w14:paraId="000000D1">
            <w:pPr>
              <w:jc w:val="center"/>
              <w:rPr>
                <w:rFonts w:eastAsia="Calibri"/>
                <w:szCs w:val="24"/>
              </w:rPr>
            </w:pPr>
            <w:r>
              <w:rPr>
                <w:rFonts w:eastAsia="Calibri"/>
                <w:szCs w:val="24"/>
              </w:rPr>
              <w:t>-</w:t>
            </w:r>
          </w:p>
        </w:tc>
      </w:tr>
      <w:tr>
        <w:trPr/>
        <w:tc>
          <w:tcPr>
            <w:cnfStyle w:val="001000010000"/>
            <w:tcW w:w="7572" w:type="dxa"/>
            <w:tcBorders>
              <w:top w:val="single" w:color="000000" w:sz="4" w:space="0"/>
              <w:left w:val="single" w:color="000000" w:sz="4" w:space="0"/>
              <w:bottom w:val="single" w:color="000000" w:sz="4" w:space="0"/>
              <w:right w:val="single" w:color="000000" w:sz="4" w:space="0"/>
            </w:tcBorders>
          </w:tcPr>
          <w:p w14:paraId="000000D2">
            <w:pPr>
              <w:jc w:val="both"/>
              <w:rPr>
                <w:rFonts w:eastAsia="Calibri"/>
                <w:szCs w:val="24"/>
              </w:rPr>
            </w:pPr>
            <w:r>
              <w:rPr>
                <w:rFonts w:eastAsia="Calibri"/>
                <w:szCs w:val="24"/>
              </w:rPr>
              <w:t xml:space="preserve">   курсовая работа</w:t>
            </w:r>
          </w:p>
        </w:tc>
        <w:tc>
          <w:tcPr>
            <w:cnfStyle w:val="000000010000"/>
            <w:tcW w:w="1772" w:type="dxa"/>
            <w:tcBorders>
              <w:top w:val="single" w:color="000000" w:sz="4" w:space="0"/>
              <w:left w:val="single" w:color="000000" w:sz="4" w:space="0"/>
              <w:bottom w:val="single" w:color="000000" w:sz="4" w:space="0"/>
              <w:right w:val="single" w:color="000000" w:sz="4" w:space="0"/>
            </w:tcBorders>
          </w:tcPr>
          <w:p w14:paraId="000000D3">
            <w:pPr>
              <w:jc w:val="center"/>
              <w:rPr>
                <w:rFonts w:eastAsia="Calibri"/>
                <w:b/>
                <w:szCs w:val="24"/>
              </w:rPr>
            </w:pPr>
            <w:r>
              <w:rPr>
                <w:rFonts w:eastAsia="Calibri"/>
                <w:szCs w:val="24"/>
              </w:rPr>
              <w:t>-</w:t>
            </w:r>
          </w:p>
        </w:tc>
      </w:tr>
      <w:tr>
        <w:trPr/>
        <w:tc>
          <w:tcPr>
            <w:cnfStyle w:val="001000100000"/>
            <w:tcW w:w="7572" w:type="dxa"/>
            <w:tcBorders>
              <w:top w:val="single" w:color="000000" w:sz="4" w:space="0"/>
              <w:left w:val="single" w:color="000000" w:sz="4" w:space="0"/>
              <w:bottom w:val="single" w:color="000000" w:sz="4" w:space="0"/>
              <w:right w:val="single" w:color="000000" w:sz="4" w:space="0"/>
            </w:tcBorders>
          </w:tcPr>
          <w:p w14:paraId="000000D4">
            <w:pPr>
              <w:jc w:val="both"/>
              <w:rPr>
                <w:rFonts w:eastAsia="Calibri"/>
                <w:b/>
                <w:szCs w:val="24"/>
              </w:rPr>
            </w:pPr>
            <w:r>
              <w:rPr>
                <w:rFonts w:eastAsia="Calibri"/>
                <w:b/>
                <w:szCs w:val="24"/>
              </w:rPr>
              <w:t>Самостоятельная работа обучающегося (всего)</w:t>
            </w:r>
          </w:p>
        </w:tc>
        <w:tc>
          <w:tcPr>
            <w:cnfStyle w:val="000000100000"/>
            <w:tcW w:w="1772" w:type="dxa"/>
            <w:tcBorders>
              <w:top w:val="single" w:color="000000" w:sz="4" w:space="0"/>
              <w:left w:val="single" w:color="000000" w:sz="4" w:space="0"/>
              <w:bottom w:val="single" w:color="000000" w:sz="4" w:space="0"/>
              <w:right w:val="single" w:color="000000" w:sz="4" w:space="0"/>
            </w:tcBorders>
          </w:tcPr>
          <w:p w14:paraId="000000D5">
            <w:pPr>
              <w:jc w:val="center"/>
              <w:rPr>
                <w:rFonts w:eastAsia="Calibri"/>
                <w:szCs w:val="24"/>
              </w:rPr>
            </w:pPr>
            <w:r>
              <w:rPr>
                <w:rFonts w:eastAsia="Calibri"/>
                <w:szCs w:val="24"/>
                <w:lang w:val="en-US"/>
              </w:rPr>
              <w:t xml:space="preserve"> </w:t>
            </w:r>
            <w:r>
              <w:rPr>
                <w:rFonts w:eastAsia="Calibri"/>
                <w:szCs w:val="24"/>
              </w:rPr>
              <w:t>4</w:t>
            </w:r>
          </w:p>
        </w:tc>
      </w:tr>
      <w:tr>
        <w:trPr/>
        <w:tc>
          <w:tcPr>
            <w:cnfStyle w:val="001000010000"/>
            <w:tcW w:w="7572" w:type="dxa"/>
            <w:tcBorders>
              <w:top w:val="single" w:color="000000" w:sz="4" w:space="0"/>
              <w:left w:val="single" w:color="000000" w:sz="4" w:space="0"/>
              <w:bottom w:val="single" w:color="000000" w:sz="4" w:space="0"/>
              <w:right w:val="single" w:color="000000" w:sz="4" w:space="0"/>
            </w:tcBorders>
          </w:tcPr>
          <w:p w14:paraId="000000D6">
            <w:pPr>
              <w:jc w:val="both"/>
              <w:rPr>
                <w:rFonts w:eastAsia="Calibri"/>
                <w:szCs w:val="24"/>
              </w:rPr>
            </w:pPr>
            <w:r>
              <w:rPr>
                <w:rFonts w:eastAsia="Calibri"/>
                <w:szCs w:val="24"/>
              </w:rPr>
              <w:t>в том числе:</w:t>
            </w:r>
          </w:p>
        </w:tc>
        <w:tc>
          <w:tcPr>
            <w:cnfStyle w:val="000000010000"/>
            <w:tcW w:w="1772" w:type="dxa"/>
            <w:tcBorders>
              <w:top w:val="single" w:color="000000" w:sz="4" w:space="0"/>
              <w:left w:val="single" w:color="000000" w:sz="4" w:space="0"/>
              <w:bottom w:val="single" w:color="000000" w:sz="4" w:space="0"/>
              <w:right w:val="single" w:color="000000" w:sz="4" w:space="0"/>
            </w:tcBorders>
          </w:tcPr>
          <w:p w14:paraId="000000D7">
            <w:pPr>
              <w:jc w:val="both"/>
              <w:rPr>
                <w:rFonts w:eastAsia="Calibri"/>
                <w:b/>
                <w:szCs w:val="24"/>
              </w:rPr>
            </w:pPr>
          </w:p>
        </w:tc>
      </w:tr>
      <w:tr>
        <w:trPr/>
        <w:tc>
          <w:tcPr>
            <w:cnfStyle w:val="001000100000"/>
            <w:tcW w:w="7572" w:type="dxa"/>
            <w:tcBorders>
              <w:top w:val="single" w:color="000000" w:sz="4" w:space="0"/>
              <w:left w:val="single" w:color="000000" w:sz="4" w:space="0"/>
              <w:bottom w:val="single" w:color="000000" w:sz="4" w:space="0"/>
              <w:right w:val="single" w:color="000000" w:sz="4" w:space="0"/>
            </w:tcBorders>
          </w:tcPr>
          <w:p w14:paraId="000000D8">
            <w:pPr>
              <w:jc w:val="both"/>
              <w:rPr>
                <w:rFonts w:eastAsia="Calibri"/>
                <w:szCs w:val="24"/>
              </w:rPr>
            </w:pPr>
            <w:r>
              <w:rPr>
                <w:rFonts w:eastAsia="Calibri"/>
                <w:szCs w:val="24"/>
              </w:rPr>
              <w:t>самостоятельная работа над курсовой работой</w:t>
            </w:r>
          </w:p>
        </w:tc>
        <w:tc>
          <w:tcPr>
            <w:cnfStyle w:val="000000100000"/>
            <w:tcW w:w="1772" w:type="dxa"/>
            <w:tcBorders>
              <w:top w:val="single" w:color="000000" w:sz="4" w:space="0"/>
              <w:left w:val="single" w:color="000000" w:sz="4" w:space="0"/>
              <w:bottom w:val="single" w:color="000000" w:sz="4" w:space="0"/>
              <w:right w:val="single" w:color="000000" w:sz="4" w:space="0"/>
            </w:tcBorders>
          </w:tcPr>
          <w:p w14:paraId="000000D9">
            <w:pPr>
              <w:jc w:val="center"/>
              <w:rPr>
                <w:rFonts w:eastAsia="Calibri"/>
                <w:szCs w:val="24"/>
              </w:rPr>
            </w:pPr>
            <w:r>
              <w:rPr>
                <w:rFonts w:eastAsia="Calibri"/>
                <w:szCs w:val="24"/>
              </w:rPr>
              <w:t>-</w:t>
            </w:r>
          </w:p>
        </w:tc>
      </w:tr>
      <w:tr>
        <w:trPr/>
        <w:tc>
          <w:tcPr>
            <w:cnfStyle w:val="001000010000"/>
            <w:tcW w:w="9344" w:type="dxa"/>
            <w:gridSpan w:val="2"/>
            <w:tcBorders>
              <w:top w:val="single" w:color="000000" w:sz="4" w:space="0"/>
              <w:left w:val="single" w:color="000000" w:sz="4" w:space="0"/>
              <w:bottom w:val="single" w:color="000000" w:sz="4" w:space="0"/>
              <w:right w:val="single" w:color="000000" w:sz="4" w:space="0"/>
            </w:tcBorders>
          </w:tcPr>
          <w:p w14:paraId="000000DA">
            <w:pPr>
              <w:jc w:val="both"/>
              <w:rPr>
                <w:rFonts w:eastAsia="Calibri"/>
                <w:b/>
                <w:szCs w:val="24"/>
              </w:rPr>
            </w:pPr>
            <w:r>
              <w:rPr>
                <w:rFonts w:eastAsia="Calibri"/>
                <w:szCs w:val="24"/>
              </w:rPr>
              <w:t>Промежуточная аттестация в форме зачета и тестирования</w:t>
            </w:r>
            <w:r>
              <w:rPr>
                <w:rFonts w:eastAsia="Calibri"/>
                <w:b/>
                <w:szCs w:val="24"/>
              </w:rPr>
              <w:t>.</w:t>
            </w:r>
            <w:r>
              <w:rPr>
                <w:rFonts w:eastAsia="Calibri"/>
                <w:b/>
                <w:szCs w:val="24"/>
              </w:rPr>
              <w:t xml:space="preserve">                                  Зачет</w:t>
            </w:r>
          </w:p>
        </w:tc>
      </w:tr>
    </w:tbl>
    <w:p w14:paraId="000000DB">
      <w:pPr>
        <w:ind w:left="720"/>
        <w:rPr>
          <w:b/>
          <w:szCs w:val="24"/>
        </w:rPr>
      </w:pPr>
    </w:p>
    <w:p w14:paraId="000000DC">
      <w:pPr>
        <w:numPr>
          <w:ilvl w:val="1"/>
          <w:numId w:val="3"/>
        </w:numPr>
        <w:rPr>
          <w:b/>
          <w:szCs w:val="24"/>
        </w:rPr>
      </w:pPr>
      <w:r>
        <w:rPr>
          <w:b/>
          <w:szCs w:val="24"/>
        </w:rPr>
        <w:t xml:space="preserve">Тематический план и содержание дисциплины </w:t>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tblPr>
      <w:tblGrid>
        <w:gridCol w:w="4005"/>
        <w:gridCol w:w="4315"/>
        <w:gridCol w:w="1024"/>
      </w:tblGrid>
      <w:tr>
        <w:trPr/>
        <w:tc>
          <w:tcPr>
            <w:cnfStyle w:val="101000000000"/>
            <w:tcW w:w="2794" w:type="dxa"/>
            <w:tcBorders>
              <w:top w:val="single" w:color="000000" w:sz="4" w:space="0"/>
              <w:left w:val="single" w:color="000000" w:sz="4" w:space="0"/>
              <w:bottom w:val="single" w:color="000000" w:sz="4" w:space="0"/>
              <w:right w:val="single" w:color="000000" w:sz="4" w:space="0"/>
            </w:tcBorders>
          </w:tcPr>
          <w:p w14:paraId="000000DD">
            <w:pPr>
              <w:jc w:val="both"/>
              <w:rPr>
                <w:rFonts w:eastAsia="Calibri"/>
                <w:b/>
                <w:szCs w:val="24"/>
              </w:rPr>
            </w:pPr>
            <w:r>
              <w:rPr>
                <w:rFonts w:eastAsia="Calibri"/>
                <w:b/>
                <w:szCs w:val="24"/>
              </w:rPr>
              <w:t>Наименование разделов и тем</w:t>
            </w:r>
          </w:p>
        </w:tc>
        <w:tc>
          <w:tcPr>
            <w:cnfStyle w:val="100000000000"/>
            <w:tcW w:w="4861" w:type="dxa"/>
            <w:tcBorders>
              <w:top w:val="single" w:color="000000" w:sz="4" w:space="0"/>
              <w:left w:val="single" w:color="000000" w:sz="4" w:space="0"/>
              <w:bottom w:val="single" w:color="000000" w:sz="4" w:space="0"/>
              <w:right w:val="single" w:color="000000" w:sz="4" w:space="0"/>
            </w:tcBorders>
          </w:tcPr>
          <w:p w14:paraId="000000DE">
            <w:pPr>
              <w:jc w:val="both"/>
              <w:rPr>
                <w:rFonts w:eastAsia="Calibri"/>
                <w:b/>
                <w:szCs w:val="24"/>
              </w:rPr>
            </w:pPr>
            <w:r>
              <w:rPr>
                <w:rFonts w:eastAsia="Calibri"/>
                <w:b/>
                <w:szCs w:val="24"/>
              </w:rPr>
              <w:t>Содержание учебного материала, лабораторные работы и практические занятия, самостоятельная работа обучающихся, курсовая работа (</w:t>
            </w:r>
            <w:r>
              <w:rPr>
                <w:rFonts w:eastAsia="Calibri"/>
                <w:b/>
                <w:i/>
                <w:szCs w:val="24"/>
              </w:rPr>
              <w:t>если предусмотрены)</w:t>
            </w:r>
          </w:p>
        </w:tc>
        <w:tc>
          <w:tcPr>
            <w:cnfStyle w:val="100000000000"/>
            <w:tcW w:w="1559" w:type="dxa"/>
            <w:tcBorders>
              <w:top w:val="single" w:color="000000" w:sz="4" w:space="0"/>
              <w:left w:val="single" w:color="000000" w:sz="4" w:space="0"/>
              <w:bottom w:val="single" w:color="000000" w:sz="4" w:space="0"/>
              <w:right w:val="single" w:color="000000" w:sz="4" w:space="0"/>
            </w:tcBorders>
          </w:tcPr>
          <w:p w14:paraId="000000DF">
            <w:pPr>
              <w:jc w:val="center"/>
              <w:rPr>
                <w:rFonts w:eastAsia="Calibri"/>
                <w:b/>
                <w:szCs w:val="24"/>
              </w:rPr>
            </w:pPr>
            <w:r>
              <w:rPr>
                <w:rFonts w:eastAsia="Calibri"/>
                <w:b/>
                <w:szCs w:val="24"/>
              </w:rPr>
              <w:t>Объем часов</w:t>
            </w:r>
          </w:p>
        </w:tc>
      </w:tr>
      <w:tr>
        <w:trPr/>
        <w:tc>
          <w:tcPr>
            <w:cnfStyle w:val="001000100000"/>
            <w:tcW w:w="2794" w:type="dxa"/>
            <w:tcBorders>
              <w:top w:val="single" w:color="000000" w:sz="4" w:space="0"/>
              <w:left w:val="single" w:color="000000" w:sz="4" w:space="0"/>
              <w:bottom w:val="single" w:color="000000" w:sz="4" w:space="0"/>
              <w:right w:val="single" w:color="000000" w:sz="4" w:space="0"/>
            </w:tcBorders>
          </w:tcPr>
          <w:p w14:paraId="000000E0">
            <w:pPr>
              <w:jc w:val="center"/>
              <w:rPr>
                <w:rFonts w:eastAsia="Calibri"/>
                <w:b/>
                <w:szCs w:val="24"/>
              </w:rPr>
            </w:pPr>
            <w:r>
              <w:rPr>
                <w:rFonts w:eastAsia="Calibri"/>
                <w:b/>
                <w:szCs w:val="24"/>
              </w:rPr>
              <w:t>1</w:t>
            </w:r>
          </w:p>
        </w:tc>
        <w:tc>
          <w:tcPr>
            <w:cnfStyle w:val="000000100000"/>
            <w:tcW w:w="4861" w:type="dxa"/>
            <w:tcBorders>
              <w:top w:val="single" w:color="000000" w:sz="4" w:space="0"/>
              <w:left w:val="single" w:color="000000" w:sz="4" w:space="0"/>
              <w:bottom w:val="single" w:color="000000" w:sz="4" w:space="0"/>
              <w:right w:val="single" w:color="000000" w:sz="4" w:space="0"/>
            </w:tcBorders>
          </w:tcPr>
          <w:p w14:paraId="000000E1">
            <w:pPr>
              <w:jc w:val="center"/>
              <w:rPr>
                <w:rFonts w:eastAsia="Calibri"/>
                <w:b/>
                <w:szCs w:val="24"/>
              </w:rPr>
            </w:pPr>
            <w:r>
              <w:rPr>
                <w:rFonts w:eastAsia="Calibri"/>
                <w:b/>
                <w:szCs w:val="24"/>
              </w:rPr>
              <w:t>2</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0E2">
            <w:pPr>
              <w:jc w:val="center"/>
              <w:rPr>
                <w:rFonts w:eastAsia="Calibri"/>
                <w:b/>
                <w:szCs w:val="24"/>
              </w:rPr>
            </w:pPr>
            <w:r>
              <w:rPr>
                <w:rFonts w:eastAsia="Calibri"/>
                <w:b/>
                <w:szCs w:val="24"/>
              </w:rPr>
              <w:t>3</w:t>
            </w:r>
          </w:p>
        </w:tc>
      </w:tr>
      <w:tr>
        <w:trPr/>
        <w:tc>
          <w:tcPr>
            <w:cnfStyle w:val="001000010000"/>
            <w:tcW w:w="2794" w:type="dxa"/>
            <w:tcBorders>
              <w:top w:val="single" w:color="000000" w:sz="4" w:space="0"/>
              <w:left w:val="single" w:color="000000" w:sz="4" w:space="0"/>
              <w:bottom w:val="single" w:color="000000" w:sz="4" w:space="0"/>
              <w:right w:val="single" w:color="000000" w:sz="4" w:space="0"/>
            </w:tcBorders>
          </w:tcPr>
          <w:p w14:paraId="000000E3">
            <w:pPr>
              <w:jc w:val="center"/>
              <w:rPr>
                <w:rFonts w:eastAsia="Calibri"/>
                <w:b/>
                <w:szCs w:val="24"/>
              </w:rPr>
            </w:pPr>
            <w:r>
              <w:rPr>
                <w:rFonts w:eastAsia="Calibri"/>
                <w:b/>
                <w:szCs w:val="24"/>
              </w:rPr>
              <w:t>Раздел 1.</w:t>
            </w:r>
          </w:p>
        </w:tc>
        <w:tc>
          <w:tcPr>
            <w:cnfStyle w:val="000000010000"/>
            <w:tcW w:w="4861" w:type="dxa"/>
            <w:tcBorders>
              <w:top w:val="single" w:color="000000" w:sz="4" w:space="0"/>
              <w:left w:val="single" w:color="000000" w:sz="4" w:space="0"/>
              <w:bottom w:val="single" w:color="000000" w:sz="4" w:space="0"/>
              <w:right w:val="single" w:color="000000" w:sz="4" w:space="0"/>
            </w:tcBorders>
          </w:tcPr>
          <w:p w14:paraId="000000E4">
            <w:pPr>
              <w:jc w:val="center"/>
              <w:rPr>
                <w:rFonts w:eastAsia="Calibri"/>
                <w:b/>
                <w:szCs w:val="24"/>
              </w:rPr>
            </w:pP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0E5">
            <w:pPr>
              <w:jc w:val="center"/>
              <w:rPr>
                <w:rFonts w:eastAsia="Calibri"/>
                <w:b/>
                <w:szCs w:val="24"/>
              </w:rPr>
            </w:pPr>
          </w:p>
        </w:tc>
      </w:tr>
      <w:tr>
        <w:trPr/>
        <w:tc>
          <w:tcPr>
            <w:cnfStyle w:val="001000100000"/>
            <w:tcW w:w="2794" w:type="dxa"/>
            <w:vMerge w:val="restart"/>
            <w:tcBorders>
              <w:top w:val="single" w:color="000000" w:sz="4" w:space="0"/>
              <w:left w:val="single" w:color="000000" w:sz="4" w:space="0"/>
              <w:bottom w:val="single" w:color="000000" w:sz="4" w:space="0"/>
              <w:right w:val="single" w:color="000000" w:sz="4" w:space="0"/>
            </w:tcBorders>
          </w:tcPr>
          <w:p w14:paraId="000000E6">
            <w:pPr>
              <w:jc w:val="center"/>
              <w:rPr>
                <w:rFonts w:eastAsia="Calibri"/>
                <w:b/>
                <w:szCs w:val="24"/>
              </w:rPr>
            </w:pPr>
            <w:r>
              <w:rPr>
                <w:rFonts w:eastAsia="Calibri"/>
                <w:b/>
                <w:szCs w:val="24"/>
              </w:rPr>
              <w:t>Тема 1.1.</w:t>
            </w:r>
          </w:p>
          <w:p w14:paraId="000000E7">
            <w:pPr>
              <w:jc w:val="center"/>
              <w:rPr>
                <w:rFonts w:eastAsia="Calibri"/>
                <w:b/>
                <w:szCs w:val="24"/>
              </w:rPr>
            </w:pPr>
            <w:r>
              <w:rPr>
                <w:rFonts w:eastAsia="Calibri"/>
                <w:b/>
                <w:szCs w:val="24"/>
              </w:rPr>
              <w:t>Этика как философская наука о морали</w:t>
            </w:r>
          </w:p>
        </w:tc>
        <w:tc>
          <w:tcPr>
            <w:cnfStyle w:val="000000100000"/>
            <w:tcW w:w="4861" w:type="dxa"/>
            <w:tcBorders>
              <w:top w:val="single" w:color="000000" w:sz="4" w:space="0"/>
              <w:left w:val="single" w:color="000000" w:sz="4" w:space="0"/>
              <w:bottom w:val="single" w:color="000000" w:sz="4" w:space="0"/>
              <w:right w:val="single" w:color="000000" w:sz="4" w:space="0"/>
            </w:tcBorders>
          </w:tcPr>
          <w:p w14:paraId="000000E8">
            <w:pPr>
              <w:rPr>
                <w:rFonts w:eastAsia="Calibri"/>
                <w:b/>
                <w:szCs w:val="24"/>
              </w:rPr>
            </w:pPr>
            <w:r>
              <w:rPr>
                <w:rFonts w:eastAsia="Calibri"/>
                <w:b/>
                <w:szCs w:val="24"/>
              </w:rPr>
              <w:t>Содержание учебного материала:</w:t>
            </w:r>
          </w:p>
        </w:tc>
        <w:tc>
          <w:tcPr>
            <w:cnfStyle w:val="000000100000"/>
            <w:tcW w:w="1559" w:type="dxa"/>
            <w:vMerge w:val="restart"/>
            <w:tcBorders>
              <w:top w:val="single" w:color="000000" w:sz="4" w:space="0"/>
              <w:left w:val="single" w:color="000000" w:sz="4" w:space="0"/>
              <w:bottom w:val="single" w:color="000000" w:sz="4" w:space="0"/>
              <w:right w:val="single" w:color="000000" w:sz="4" w:space="0"/>
            </w:tcBorders>
          </w:tcPr>
          <w:p w14:paraId="000000E9">
            <w:pPr>
              <w:jc w:val="center"/>
              <w:rPr>
                <w:rFonts w:eastAsia="Calibri"/>
                <w:b/>
                <w:szCs w:val="24"/>
                <w:highlight w:val="yellow"/>
              </w:rPr>
            </w:pPr>
            <w:r>
              <w:rPr>
                <w:rFonts w:eastAsia="Calibri"/>
                <w:b/>
                <w:szCs w:val="24"/>
              </w:rPr>
              <w:t>2</w:t>
            </w:r>
            <w:r>
              <w:rPr>
                <w:rFonts w:eastAsia="Calibri"/>
                <w:b/>
                <w:szCs w:val="24"/>
              </w:rPr>
              <w:t>/2</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0EA">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0EB">
            <w:pPr>
              <w:ind w:firstLine="709"/>
              <w:jc w:val="both"/>
              <w:rPr>
                <w:szCs w:val="24"/>
              </w:rPr>
            </w:pPr>
            <w:r>
              <w:rPr>
                <w:szCs w:val="24"/>
              </w:rPr>
              <w:t xml:space="preserve">Этика как нормативная наука и практическая философия. Происхождение и соотношение понятий — «этика», «мораль» и «нравственность». Мораль и нравственность как </w:t>
            </w:r>
            <w:r>
              <w:rPr>
                <w:szCs w:val="24"/>
              </w:rPr>
              <w:t>предмет  этики</w:t>
            </w:r>
            <w:r>
              <w:rPr>
                <w:szCs w:val="24"/>
              </w:rPr>
              <w:t>. Структура морали. Нравственное измерение личности и моральное измерение общества. Нравственная деятельность. Нравственные отношения. Моральное сознание. Нормы и принципы морали. Нравственные чувства. Функции морали.</w:t>
            </w:r>
          </w:p>
          <w:p w14:paraId="000000EC">
            <w:pPr>
              <w:ind w:firstLine="709"/>
              <w:jc w:val="both"/>
              <w:rPr>
                <w:rFonts w:eastAsia="Calibri"/>
                <w:szCs w:val="24"/>
                <w:lang w:eastAsia="en-US"/>
              </w:rPr>
            </w:pPr>
            <w:r>
              <w:rPr>
                <w:szCs w:val="24"/>
              </w:rPr>
              <w:t xml:space="preserve">Основные категории этики и высшие моральные ценности. </w:t>
            </w:r>
            <w:r>
              <w:rPr>
                <w:szCs w:val="24"/>
              </w:rPr>
              <w:t xml:space="preserve">Содержание, особенности и функции категорий этики. Добро и зло, благо. Мораль как выбор добра и отвержение зла. Добродетель и порок. Совесть как одна из наиболее сложных и важных этических категорий и как внутренний регулятор нравственного отношения сотрудников органов внутренних дел к людям. Долг как внешний регулятор поведения людей. Честь и достоинство. Смысл жизни, счастье и нравственный идеал. Справедливость и нравственность.    Золотое правило нравственности. </w:t>
            </w:r>
          </w:p>
        </w:tc>
        <w:tc>
          <w:tcPr>
            <w:cnfStyle w:val="000000010000"/>
            <w:tcW w:w="1559" w:type="dxa"/>
            <w:vMerge w:val="continue"/>
            <w:tcBorders>
              <w:top w:val="single" w:color="000000" w:sz="4" w:space="0"/>
              <w:left w:val="single" w:color="000000" w:sz="4" w:space="0"/>
              <w:bottom w:val="single" w:color="000000" w:sz="4" w:space="0"/>
              <w:right w:val="single" w:color="000000" w:sz="4" w:space="0"/>
            </w:tcBorders>
            <w:vAlign w:val="center"/>
          </w:tcPr>
          <w:p w14:paraId="000000ED">
            <w:pPr>
              <w:rPr>
                <w:rFonts w:eastAsia="Calibri"/>
                <w:b/>
                <w:szCs w:val="24"/>
                <w:highlight w:val="yellow"/>
              </w:rPr>
            </w:pP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0EE">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0EF">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0F0">
            <w:pPr>
              <w:jc w:val="center"/>
              <w:rPr>
                <w:rFonts w:eastAsia="Calibri"/>
                <w:b/>
                <w:szCs w:val="24"/>
              </w:rPr>
            </w:pPr>
            <w:r>
              <w:rPr>
                <w:rFonts w:eastAsia="Calibri"/>
                <w:b/>
                <w:szCs w:val="24"/>
              </w:rPr>
              <w:t>-</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0F1">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0F2">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0F3">
            <w:pPr>
              <w:jc w:val="center"/>
              <w:rPr>
                <w:rFonts w:eastAsia="Calibri"/>
                <w:b/>
                <w:szCs w:val="24"/>
              </w:rPr>
            </w:pPr>
            <w:r>
              <w:rPr>
                <w:rFonts w:eastAsia="Calibri"/>
                <w:b/>
                <w:szCs w:val="24"/>
              </w:rPr>
              <w:t>2</w:t>
            </w: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0F4">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0F5">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0F6">
            <w:pPr>
              <w:jc w:val="center"/>
              <w:rPr>
                <w:rFonts w:eastAsia="Calibri"/>
                <w:b/>
                <w:szCs w:val="24"/>
              </w:rPr>
            </w:pPr>
            <w:r>
              <w:rPr>
                <w:rFonts w:eastAsia="Calibri"/>
                <w:b/>
                <w:szCs w:val="24"/>
              </w:rPr>
              <w:t>-</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0F7">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0F8">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0F9">
            <w:pPr>
              <w:jc w:val="center"/>
              <w:rPr>
                <w:rFonts w:eastAsia="Calibri"/>
                <w:b/>
                <w:szCs w:val="24"/>
              </w:rPr>
            </w:pPr>
            <w:r>
              <w:rPr>
                <w:rFonts w:eastAsia="Calibri"/>
                <w:b/>
                <w:szCs w:val="24"/>
              </w:rPr>
              <w:t>-</w:t>
            </w:r>
          </w:p>
        </w:tc>
      </w:tr>
      <w:tr>
        <w:trPr/>
        <w:tc>
          <w:tcPr>
            <w:cnfStyle w:val="001000100000"/>
            <w:tcW w:w="2794" w:type="dxa"/>
            <w:vMerge w:val="restart"/>
            <w:tcBorders>
              <w:top w:val="single" w:color="000000" w:sz="4" w:space="0"/>
              <w:left w:val="single" w:color="000000" w:sz="4" w:space="0"/>
              <w:bottom w:val="single" w:color="000000" w:sz="4" w:space="0"/>
              <w:right w:val="single" w:color="000000" w:sz="4" w:space="0"/>
            </w:tcBorders>
          </w:tcPr>
          <w:p w14:paraId="000000FA">
            <w:pPr>
              <w:jc w:val="center"/>
              <w:rPr>
                <w:rFonts w:eastAsia="Calibri"/>
                <w:b/>
                <w:szCs w:val="24"/>
              </w:rPr>
            </w:pPr>
            <w:r>
              <w:rPr>
                <w:rFonts w:eastAsia="Calibri"/>
                <w:b/>
                <w:szCs w:val="24"/>
              </w:rPr>
              <w:t>Тема 1.2.</w:t>
            </w:r>
          </w:p>
          <w:p w14:paraId="000000FB">
            <w:pPr>
              <w:jc w:val="center"/>
              <w:rPr>
                <w:rFonts w:eastAsia="Calibri"/>
                <w:b/>
                <w:szCs w:val="24"/>
              </w:rPr>
            </w:pPr>
            <w:r>
              <w:rPr>
                <w:rFonts w:eastAsia="Calibri"/>
                <w:b/>
                <w:szCs w:val="24"/>
              </w:rPr>
              <w:t>Этическая мысль прошлого и настоящего</w:t>
            </w: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0FC">
            <w:pPr>
              <w:pStyle w:val="NoSpacing"/>
              <w:jc w:val="both"/>
              <w:rPr>
                <w:rFonts w:ascii="Times New Roman" w:eastAsia="Calibri" w:hAnsi="Times New Roman"/>
                <w:sz w:val="24"/>
                <w:szCs w:val="24"/>
                <w:lang w:eastAsia="en-US"/>
              </w:rPr>
            </w:pPr>
            <w:r>
              <w:rPr>
                <w:rFonts w:ascii="Times New Roman" w:eastAsia="Calibri" w:hAnsi="Times New Roman"/>
                <w:b/>
                <w:sz w:val="24"/>
                <w:szCs w:val="24"/>
              </w:rPr>
              <w:t>Содержание учебного материала:</w:t>
            </w:r>
          </w:p>
        </w:tc>
        <w:tc>
          <w:tcPr>
            <w:cnfStyle w:val="000000100000"/>
            <w:tcW w:w="1559" w:type="dxa"/>
            <w:vMerge w:val="restart"/>
            <w:tcBorders>
              <w:top w:val="single" w:color="000000" w:sz="4" w:space="0"/>
              <w:left w:val="single" w:color="000000" w:sz="4" w:space="0"/>
              <w:bottom w:val="single" w:color="000000" w:sz="4" w:space="0"/>
              <w:right w:val="single" w:color="000000" w:sz="4" w:space="0"/>
            </w:tcBorders>
          </w:tcPr>
          <w:p w14:paraId="000000FD">
            <w:pPr>
              <w:jc w:val="center"/>
              <w:rPr>
                <w:rFonts w:eastAsia="Calibri"/>
                <w:b/>
                <w:szCs w:val="24"/>
              </w:rPr>
            </w:pPr>
            <w:r>
              <w:rPr>
                <w:rFonts w:eastAsia="Calibri"/>
                <w:b/>
                <w:szCs w:val="24"/>
              </w:rPr>
              <w:t>2</w:t>
            </w:r>
            <w:r>
              <w:rPr>
                <w:rFonts w:eastAsia="Calibri"/>
                <w:b/>
                <w:szCs w:val="24"/>
              </w:rPr>
              <w:t>/2</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0FE">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0FF">
            <w:pPr>
              <w:ind w:firstLine="709"/>
              <w:jc w:val="both"/>
              <w:rPr>
                <w:szCs w:val="24"/>
              </w:rPr>
            </w:pPr>
            <w:r>
              <w:rPr>
                <w:szCs w:val="24"/>
              </w:rPr>
              <w:t>Проблемы происхождения морали. Основные этические теории происхождения морали. Исторические типы морали и противоречивый характер ее развития. Этапы развития этики как науки.</w:t>
            </w:r>
          </w:p>
          <w:p w14:paraId="00000100">
            <w:pPr>
              <w:ind w:firstLine="709"/>
              <w:jc w:val="both"/>
              <w:rPr>
                <w:szCs w:val="24"/>
              </w:rPr>
            </w:pPr>
            <w:r>
              <w:rPr>
                <w:szCs w:val="24"/>
              </w:rPr>
              <w:t>Проблемы сочетания добродетели и счастья, абсолютных и относительных ценностей, свободы воли человека в этических учениях Конфуция, Будды, Моисея, Иисуса Христа, Мухаммеда.</w:t>
            </w:r>
          </w:p>
          <w:p w14:paraId="00000101">
            <w:pPr>
              <w:ind w:firstLine="709"/>
              <w:jc w:val="both"/>
              <w:rPr>
                <w:rFonts w:eastAsia="Calibri"/>
                <w:szCs w:val="24"/>
                <w:lang w:eastAsia="en-US"/>
              </w:rPr>
            </w:pPr>
            <w:r>
              <w:rPr>
                <w:szCs w:val="24"/>
              </w:rPr>
              <w:t xml:space="preserve">Философы моралисты античного времени: Аристотель, Платон, Сократ, Эпикур. Рациональное объяснение этика И. Канта. Радикальное отрицание морали Ф. Ницше. Условия абсолютного добра в этических воззрениях Вл. Соловьева и Н. </w:t>
            </w:r>
            <w:r>
              <w:rPr>
                <w:szCs w:val="24"/>
              </w:rPr>
              <w:t>Лосского</w:t>
            </w:r>
            <w:r>
              <w:rPr>
                <w:szCs w:val="24"/>
              </w:rPr>
              <w:t xml:space="preserve">. </w:t>
            </w:r>
            <w:r>
              <w:rPr>
                <w:szCs w:val="24"/>
              </w:rPr>
              <w:t>Христоцентричная</w:t>
            </w:r>
            <w:r>
              <w:rPr>
                <w:szCs w:val="24"/>
              </w:rPr>
              <w:t xml:space="preserve"> этика Ф. Достоевского. Этика ненасилия Л. Толстого и этика благоговения перед жизнью А. </w:t>
            </w:r>
            <w:r>
              <w:rPr>
                <w:szCs w:val="24"/>
              </w:rPr>
              <w:t>Швейцера</w:t>
            </w:r>
            <w:r>
              <w:rPr>
                <w:szCs w:val="24"/>
              </w:rPr>
              <w:t>.</w:t>
            </w:r>
          </w:p>
        </w:tc>
        <w:tc>
          <w:tcPr>
            <w:cnfStyle w:val="000000010000"/>
            <w:tcW w:w="1559" w:type="dxa"/>
            <w:vMerge w:val="continue"/>
            <w:tcBorders>
              <w:top w:val="single" w:color="000000" w:sz="4" w:space="0"/>
              <w:left w:val="single" w:color="000000" w:sz="4" w:space="0"/>
              <w:bottom w:val="single" w:color="000000" w:sz="4" w:space="0"/>
              <w:right w:val="single" w:color="000000" w:sz="4" w:space="0"/>
            </w:tcBorders>
            <w:vAlign w:val="center"/>
          </w:tcPr>
          <w:p w14:paraId="00000102">
            <w:pPr>
              <w:rPr>
                <w:rFonts w:eastAsia="Calibri"/>
                <w:b/>
                <w:szCs w:val="24"/>
              </w:rPr>
            </w:pP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03">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04">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05">
            <w:pPr>
              <w:jc w:val="center"/>
              <w:rPr>
                <w:rFonts w:eastAsia="Calibri"/>
                <w:b/>
                <w:szCs w:val="24"/>
              </w:rPr>
            </w:pPr>
            <w:r>
              <w:rPr>
                <w:rFonts w:eastAsia="Calibri"/>
                <w:b/>
                <w:szCs w:val="24"/>
              </w:rPr>
              <w:t>-</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06">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07">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08">
            <w:pPr>
              <w:jc w:val="center"/>
              <w:rPr>
                <w:rFonts w:eastAsia="Calibri"/>
                <w:b/>
                <w:szCs w:val="24"/>
              </w:rPr>
            </w:pPr>
            <w:r>
              <w:rPr>
                <w:rFonts w:eastAsia="Calibri"/>
                <w:b/>
                <w:szCs w:val="24"/>
              </w:rPr>
              <w:t>2</w:t>
            </w: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09">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0A">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0B">
            <w:pPr>
              <w:jc w:val="center"/>
              <w:rPr>
                <w:rFonts w:eastAsia="Calibri"/>
                <w:b/>
                <w:szCs w:val="24"/>
              </w:rPr>
            </w:pPr>
            <w:r>
              <w:rPr>
                <w:rFonts w:eastAsia="Calibri"/>
                <w:b/>
                <w:szCs w:val="24"/>
              </w:rPr>
              <w:t>-</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0C">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0D">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0E">
            <w:pPr>
              <w:jc w:val="center"/>
              <w:rPr>
                <w:rFonts w:eastAsia="Calibri"/>
                <w:b/>
                <w:szCs w:val="24"/>
              </w:rPr>
            </w:pPr>
            <w:r>
              <w:rPr>
                <w:rFonts w:eastAsia="Calibri"/>
                <w:b/>
                <w:szCs w:val="24"/>
              </w:rPr>
              <w:t>-</w:t>
            </w:r>
          </w:p>
        </w:tc>
      </w:tr>
      <w:tr>
        <w:trPr/>
        <w:tc>
          <w:tcPr>
            <w:cnfStyle w:val="001000100000"/>
            <w:tcW w:w="2794" w:type="dxa"/>
            <w:vMerge w:val="restart"/>
            <w:tcBorders>
              <w:top w:val="single" w:color="000000" w:sz="4" w:space="0"/>
              <w:left w:val="single" w:color="000000" w:sz="4" w:space="0"/>
              <w:bottom w:val="single" w:color="000000" w:sz="4" w:space="0"/>
              <w:right w:val="single" w:color="000000" w:sz="4" w:space="0"/>
            </w:tcBorders>
          </w:tcPr>
          <w:p w14:paraId="0000010F">
            <w:pPr>
              <w:jc w:val="center"/>
              <w:rPr>
                <w:rFonts w:eastAsia="Calibri"/>
                <w:b/>
                <w:szCs w:val="24"/>
              </w:rPr>
            </w:pPr>
            <w:r>
              <w:rPr>
                <w:rFonts w:eastAsia="Calibri"/>
                <w:b/>
                <w:szCs w:val="24"/>
              </w:rPr>
              <w:t>Тема 1.3.</w:t>
            </w:r>
          </w:p>
          <w:p w14:paraId="00000110">
            <w:pPr>
              <w:jc w:val="center"/>
              <w:rPr>
                <w:rFonts w:eastAsia="Calibri"/>
                <w:b/>
                <w:szCs w:val="24"/>
              </w:rPr>
            </w:pPr>
            <w:r>
              <w:rPr>
                <w:rFonts w:eastAsia="Calibri"/>
                <w:b/>
                <w:szCs w:val="24"/>
              </w:rPr>
              <w:t>Мораль как феномен культуры</w:t>
            </w: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11">
            <w:pPr>
              <w:pStyle w:val="NoSpacing"/>
              <w:jc w:val="both"/>
              <w:rPr>
                <w:rFonts w:ascii="Times New Roman" w:eastAsia="Calibri" w:hAnsi="Times New Roman"/>
                <w:sz w:val="24"/>
                <w:szCs w:val="24"/>
                <w:lang w:eastAsia="en-US"/>
              </w:rPr>
            </w:pPr>
            <w:r>
              <w:rPr>
                <w:rFonts w:ascii="Times New Roman" w:eastAsia="Calibri" w:hAnsi="Times New Roman"/>
                <w:b/>
                <w:sz w:val="24"/>
                <w:szCs w:val="24"/>
              </w:rPr>
              <w:t>Содержание учебного материала:</w:t>
            </w:r>
          </w:p>
        </w:tc>
        <w:tc>
          <w:tcPr>
            <w:cnfStyle w:val="000000100000"/>
            <w:tcW w:w="1559" w:type="dxa"/>
            <w:vMerge w:val="restart"/>
            <w:tcBorders>
              <w:top w:val="single" w:color="000000" w:sz="4" w:space="0"/>
              <w:left w:val="single" w:color="000000" w:sz="4" w:space="0"/>
              <w:bottom w:val="single" w:color="000000" w:sz="4" w:space="0"/>
              <w:right w:val="single" w:color="000000" w:sz="4" w:space="0"/>
            </w:tcBorders>
          </w:tcPr>
          <w:p w14:paraId="00000112">
            <w:pPr>
              <w:jc w:val="center"/>
              <w:rPr>
                <w:rFonts w:eastAsia="Calibri"/>
                <w:b/>
                <w:szCs w:val="24"/>
              </w:rPr>
            </w:pPr>
            <w:r>
              <w:rPr>
                <w:rFonts w:eastAsia="Calibri"/>
                <w:b/>
                <w:szCs w:val="24"/>
              </w:rPr>
              <w:t>2</w:t>
            </w:r>
            <w:r>
              <w:rPr>
                <w:rFonts w:eastAsia="Calibri"/>
                <w:b/>
                <w:szCs w:val="24"/>
              </w:rPr>
              <w:t>/2</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13">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14">
            <w:pPr>
              <w:ind w:firstLine="709"/>
              <w:jc w:val="both"/>
              <w:rPr>
                <w:rFonts w:eastAsia="Calibri"/>
                <w:szCs w:val="24"/>
              </w:rPr>
            </w:pPr>
            <w:r>
              <w:rPr>
                <w:rFonts w:eastAsia="Calibri"/>
                <w:szCs w:val="24"/>
              </w:rPr>
              <w:t xml:space="preserve">Мораль и политика. Политические идеалисты и политические реалисты. Приоритет общечеловеческих ценностей как единство политических и моральных требований. Единство и различие политики и морали. Моральные критерии политических действий. Влияние политики на нравственную атмосферу в </w:t>
            </w:r>
            <w:r>
              <w:rPr>
                <w:rFonts w:eastAsia="Calibri"/>
                <w:szCs w:val="24"/>
              </w:rPr>
              <w:t>обществе. Воздействие взаимоотношений политики и морали на правоохранительную деятельность.</w:t>
            </w:r>
          </w:p>
          <w:p w14:paraId="00000115">
            <w:pPr>
              <w:ind w:firstLine="709"/>
              <w:jc w:val="both"/>
              <w:rPr>
                <w:rFonts w:eastAsia="Calibri"/>
                <w:szCs w:val="24"/>
              </w:rPr>
            </w:pPr>
            <w:r>
              <w:rPr>
                <w:rFonts w:eastAsia="Calibri"/>
                <w:szCs w:val="24"/>
              </w:rPr>
              <w:t xml:space="preserve">Мораль и искусство. Искусство как аккумулятор нравственных норм различных исторических эпох, народов и цивилизаций. Искусство как учитель жизни и воспитатель нравственности. Искусство как воспитатель творческой способности личности, порождающей умение правильно действовать в нравственно нестандартной ситуации. Развитие интуиции, необходимой для успешной оперативно-служебной </w:t>
            </w:r>
            <w:r>
              <w:rPr>
                <w:rFonts w:eastAsia="Calibri"/>
                <w:szCs w:val="24"/>
              </w:rPr>
              <w:t>деятельности,  как</w:t>
            </w:r>
            <w:r>
              <w:rPr>
                <w:rFonts w:eastAsia="Calibri"/>
                <w:szCs w:val="24"/>
              </w:rPr>
              <w:t xml:space="preserve"> результат освоения художественных произведений. Воздействие искусства на развитие культуры эмоционально-чувственной сферы сотрудников правоохранительных органов.</w:t>
            </w:r>
          </w:p>
          <w:p w14:paraId="00000116">
            <w:pPr>
              <w:ind w:firstLine="709"/>
              <w:jc w:val="both"/>
              <w:rPr>
                <w:rFonts w:eastAsia="Calibri"/>
                <w:szCs w:val="24"/>
                <w:lang w:eastAsia="en-US"/>
              </w:rPr>
            </w:pPr>
            <w:r>
              <w:rPr>
                <w:rFonts w:eastAsia="Calibri"/>
                <w:szCs w:val="24"/>
              </w:rPr>
              <w:t>Мораль и религия: общее и особенное. Автономия человеческого духа как основа морали. Гетерономный характер религиозных заповедей. Специфические понятия религиозного учения. Специфические чувства верующих. Институциональный характер религии. Добровольность следования моральным нормам и внешняя целесообразность как основной мотив религиозного поведения. Религиозная мораль как неотъемлемый компонент национально-культурной идентичности.</w:t>
            </w:r>
          </w:p>
        </w:tc>
        <w:tc>
          <w:tcPr>
            <w:cnfStyle w:val="000000010000"/>
            <w:tcW w:w="1559" w:type="dxa"/>
            <w:vMerge w:val="continue"/>
            <w:tcBorders>
              <w:top w:val="single" w:color="000000" w:sz="4" w:space="0"/>
              <w:left w:val="single" w:color="000000" w:sz="4" w:space="0"/>
              <w:bottom w:val="single" w:color="000000" w:sz="4" w:space="0"/>
              <w:right w:val="single" w:color="000000" w:sz="4" w:space="0"/>
            </w:tcBorders>
            <w:vAlign w:val="center"/>
          </w:tcPr>
          <w:p w14:paraId="00000117">
            <w:pPr>
              <w:rPr>
                <w:rFonts w:eastAsia="Calibri"/>
                <w:b/>
                <w:szCs w:val="24"/>
              </w:rPr>
            </w:pP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18">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19">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1A">
            <w:pPr>
              <w:jc w:val="center"/>
              <w:rPr>
                <w:rFonts w:eastAsia="Calibri"/>
                <w:b/>
                <w:szCs w:val="24"/>
              </w:rPr>
            </w:pPr>
            <w:r>
              <w:rPr>
                <w:rFonts w:eastAsia="Calibri"/>
                <w:b/>
                <w:szCs w:val="24"/>
              </w:rPr>
              <w:t>-</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1B">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1C">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1D">
            <w:pPr>
              <w:jc w:val="center"/>
              <w:rPr>
                <w:rFonts w:eastAsia="Calibri"/>
                <w:b/>
                <w:szCs w:val="24"/>
              </w:rPr>
            </w:pPr>
            <w:r>
              <w:rPr>
                <w:rFonts w:eastAsia="Calibri"/>
                <w:b/>
                <w:szCs w:val="24"/>
              </w:rPr>
              <w:t>2</w:t>
            </w: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1E">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1F">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20">
            <w:pPr>
              <w:jc w:val="center"/>
              <w:rPr>
                <w:rFonts w:eastAsia="Calibri"/>
                <w:b/>
                <w:szCs w:val="24"/>
              </w:rPr>
            </w:pPr>
            <w:r>
              <w:rPr>
                <w:rFonts w:eastAsia="Calibri"/>
                <w:b/>
                <w:szCs w:val="24"/>
              </w:rPr>
              <w:t>-</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21">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22">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23">
            <w:pPr>
              <w:jc w:val="center"/>
              <w:rPr>
                <w:rFonts w:eastAsia="Calibri"/>
                <w:b/>
                <w:szCs w:val="24"/>
              </w:rPr>
            </w:pPr>
            <w:r>
              <w:rPr>
                <w:rFonts w:eastAsia="Calibri"/>
                <w:b/>
                <w:szCs w:val="24"/>
              </w:rPr>
              <w:t>-</w:t>
            </w:r>
          </w:p>
        </w:tc>
      </w:tr>
      <w:tr>
        <w:trPr/>
        <w:tc>
          <w:tcPr>
            <w:cnfStyle w:val="001000100000"/>
            <w:tcW w:w="2794" w:type="dxa"/>
            <w:vMerge w:val="restart"/>
            <w:tcBorders>
              <w:top w:val="single" w:color="000000" w:sz="4" w:space="0"/>
              <w:left w:val="single" w:color="000000" w:sz="4" w:space="0"/>
              <w:bottom w:val="single" w:color="000000" w:sz="4" w:space="0"/>
              <w:right w:val="single" w:color="000000" w:sz="4" w:space="0"/>
            </w:tcBorders>
          </w:tcPr>
          <w:p w14:paraId="00000124">
            <w:pPr>
              <w:jc w:val="center"/>
              <w:rPr>
                <w:rFonts w:eastAsia="Calibri"/>
                <w:b/>
                <w:szCs w:val="24"/>
              </w:rPr>
            </w:pPr>
            <w:r>
              <w:rPr>
                <w:rFonts w:eastAsia="Calibri"/>
                <w:b/>
                <w:szCs w:val="24"/>
              </w:rPr>
              <w:t>Тема 1.4.</w:t>
            </w:r>
          </w:p>
          <w:p w14:paraId="00000125">
            <w:pPr>
              <w:jc w:val="center"/>
              <w:rPr>
                <w:rFonts w:eastAsia="Calibri"/>
                <w:b/>
                <w:szCs w:val="24"/>
              </w:rPr>
            </w:pPr>
            <w:r>
              <w:rPr>
                <w:rFonts w:eastAsia="Calibri"/>
                <w:b/>
                <w:szCs w:val="24"/>
              </w:rPr>
              <w:t>Мораль и право в правоохранительной деятельности</w:t>
            </w: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26">
            <w:pPr>
              <w:pStyle w:val="NoSpacing"/>
              <w:jc w:val="both"/>
              <w:rPr>
                <w:rFonts w:ascii="Times New Roman" w:eastAsia="Calibri" w:hAnsi="Times New Roman"/>
                <w:sz w:val="24"/>
                <w:szCs w:val="24"/>
                <w:lang w:eastAsia="en-US"/>
              </w:rPr>
            </w:pPr>
            <w:r>
              <w:rPr>
                <w:rFonts w:ascii="Times New Roman" w:eastAsia="Calibri" w:hAnsi="Times New Roman"/>
                <w:b/>
                <w:sz w:val="24"/>
                <w:szCs w:val="24"/>
              </w:rPr>
              <w:t>Содержание учебного материала:</w:t>
            </w:r>
          </w:p>
        </w:tc>
        <w:tc>
          <w:tcPr>
            <w:cnfStyle w:val="000000100000"/>
            <w:tcW w:w="1559" w:type="dxa"/>
            <w:vMerge w:val="restart"/>
            <w:tcBorders>
              <w:top w:val="single" w:color="000000" w:sz="4" w:space="0"/>
              <w:left w:val="single" w:color="000000" w:sz="4" w:space="0"/>
              <w:bottom w:val="single" w:color="000000" w:sz="4" w:space="0"/>
              <w:right w:val="single" w:color="000000" w:sz="4" w:space="0"/>
            </w:tcBorders>
          </w:tcPr>
          <w:p w14:paraId="00000127">
            <w:pPr>
              <w:jc w:val="center"/>
              <w:rPr>
                <w:rFonts w:eastAsia="Calibri"/>
                <w:b/>
                <w:szCs w:val="24"/>
              </w:rPr>
            </w:pPr>
            <w:r>
              <w:rPr>
                <w:rFonts w:eastAsia="Calibri"/>
                <w:b/>
                <w:szCs w:val="24"/>
              </w:rPr>
              <w:t>2</w:t>
            </w:r>
            <w:r>
              <w:rPr>
                <w:rFonts w:eastAsia="Calibri"/>
                <w:b/>
                <w:szCs w:val="24"/>
              </w:rPr>
              <w:t>/2</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28">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29">
            <w:pPr>
              <w:ind w:firstLine="709"/>
              <w:jc w:val="both"/>
              <w:rPr>
                <w:rFonts w:eastAsia="Calibri"/>
                <w:szCs w:val="24"/>
              </w:rPr>
            </w:pPr>
            <w:r>
              <w:rPr>
                <w:rFonts w:eastAsia="Calibri"/>
                <w:szCs w:val="24"/>
              </w:rPr>
              <w:t xml:space="preserve">Мораль и </w:t>
            </w:r>
            <w:r>
              <w:rPr>
                <w:rFonts w:eastAsia="Calibri"/>
                <w:szCs w:val="24"/>
              </w:rPr>
              <w:t>право</w:t>
            </w:r>
            <w:r>
              <w:rPr>
                <w:rFonts w:eastAsia="Calibri"/>
                <w:szCs w:val="24"/>
              </w:rPr>
              <w:t xml:space="preserve"> как формы духовно-практического освоения действительности. Конкретно-исторические условия и социально-классовая структура общества, определяющие право и мораль как важнейшие элементы человеческой культуры, всегда выступающие в тесном взаимодействии. Мораль и право в эволюционной картине общества. Единство морали и права в деятельности сотрудников органов внутренних дел. Общее и различное в морали и праве. Сферы морального и правового </w:t>
            </w:r>
            <w:r>
              <w:rPr>
                <w:rFonts w:eastAsia="Calibri"/>
                <w:szCs w:val="24"/>
              </w:rPr>
              <w:t xml:space="preserve">регулирования в служебной деятельности юристов. </w:t>
            </w:r>
          </w:p>
          <w:p w14:paraId="0000012A">
            <w:pPr>
              <w:ind w:firstLine="709"/>
              <w:jc w:val="both"/>
              <w:rPr>
                <w:rFonts w:eastAsia="Calibri"/>
                <w:szCs w:val="24"/>
              </w:rPr>
            </w:pPr>
            <w:r>
              <w:rPr>
                <w:rFonts w:eastAsia="Calibri"/>
                <w:szCs w:val="24"/>
              </w:rPr>
              <w:t xml:space="preserve">Нравственные основы права. Мораль как ценностный критерий права. Проблема соотношения морали и права в учениях выдающихся представителей философско-правовой </w:t>
            </w:r>
            <w:r>
              <w:rPr>
                <w:rFonts w:eastAsia="Calibri"/>
                <w:szCs w:val="24"/>
              </w:rPr>
              <w:t>мысли  (</w:t>
            </w:r>
            <w:r>
              <w:rPr>
                <w:rFonts w:eastAsia="Calibri"/>
                <w:szCs w:val="24"/>
              </w:rPr>
              <w:t xml:space="preserve">Г. </w:t>
            </w:r>
            <w:r>
              <w:rPr>
                <w:rFonts w:eastAsia="Calibri"/>
                <w:szCs w:val="24"/>
              </w:rPr>
              <w:t>Гроций</w:t>
            </w:r>
            <w:r>
              <w:rPr>
                <w:rFonts w:eastAsia="Calibri"/>
                <w:szCs w:val="24"/>
              </w:rPr>
              <w:t xml:space="preserve">,  Г. В. Ф. Гегель, И. Кант). </w:t>
            </w:r>
            <w:r>
              <w:rPr>
                <w:rFonts w:eastAsia="Calibri"/>
                <w:szCs w:val="24"/>
              </w:rPr>
              <w:t>Проблема  морали</w:t>
            </w:r>
            <w:r>
              <w:rPr>
                <w:rFonts w:eastAsia="Calibri"/>
                <w:szCs w:val="24"/>
              </w:rPr>
              <w:t xml:space="preserve"> и права в русской философии права (П. И. Новгородцев, Е. Н. Трубецкой, Н. Н. Алексеев, И. А. Ильин, В. С. Соловьев).</w:t>
            </w:r>
          </w:p>
          <w:p w14:paraId="0000012B">
            <w:pPr>
              <w:ind w:firstLine="709"/>
              <w:jc w:val="both"/>
              <w:rPr>
                <w:rFonts w:eastAsia="Calibri"/>
                <w:szCs w:val="24"/>
              </w:rPr>
            </w:pPr>
            <w:r>
              <w:rPr>
                <w:rFonts w:eastAsia="Calibri"/>
                <w:szCs w:val="24"/>
              </w:rPr>
              <w:t>Взаимосвязь моральной и правовой сторон общественного порядка. Влияние правовой системы на состояние нравственности в обществе. Соотношение моральных, правовых и организационно-технических норм в деятельности сотрудников органов внутренних дел. Этический анализ феномена насилия. Моральное содержание принципа талиона. Государство как механизм ограничения насилия в обществе. Нравственные аспекты правоохранительной деятельности. Проблема «меньшего зла»: моральное обоснование использования силы сотрудниками органов внутренних дел. Принципиальное различие правового принуждения и насилия.</w:t>
            </w:r>
          </w:p>
          <w:p w14:paraId="0000012C">
            <w:pPr>
              <w:ind w:firstLine="709"/>
              <w:jc w:val="both"/>
              <w:rPr>
                <w:rFonts w:eastAsia="Calibri"/>
                <w:szCs w:val="24"/>
                <w:lang w:eastAsia="en-US"/>
              </w:rPr>
            </w:pPr>
            <w:r>
              <w:rPr>
                <w:rFonts w:eastAsia="Calibri"/>
                <w:szCs w:val="24"/>
              </w:rPr>
              <w:t>Этические аспекты применения физической силы, специальных средств и огнестрельного оружия. Этика процесса применения права. Единство нравственного и правового сознания в обеспечении законности. Этическая оценка права на жизнь.</w:t>
            </w:r>
          </w:p>
        </w:tc>
        <w:tc>
          <w:tcPr>
            <w:cnfStyle w:val="000000010000"/>
            <w:tcW w:w="1559" w:type="dxa"/>
            <w:vMerge w:val="continue"/>
            <w:tcBorders>
              <w:top w:val="single" w:color="000000" w:sz="4" w:space="0"/>
              <w:left w:val="single" w:color="000000" w:sz="4" w:space="0"/>
              <w:bottom w:val="single" w:color="000000" w:sz="4" w:space="0"/>
              <w:right w:val="single" w:color="000000" w:sz="4" w:space="0"/>
            </w:tcBorders>
            <w:vAlign w:val="center"/>
          </w:tcPr>
          <w:p w14:paraId="0000012D">
            <w:pPr>
              <w:rPr>
                <w:rFonts w:eastAsia="Calibri"/>
                <w:b/>
                <w:szCs w:val="24"/>
              </w:rPr>
            </w:pP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2E">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2F">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30">
            <w:pPr>
              <w:jc w:val="center"/>
              <w:rPr>
                <w:rFonts w:eastAsia="Calibri"/>
                <w:b/>
                <w:szCs w:val="24"/>
              </w:rPr>
            </w:pPr>
            <w:r>
              <w:rPr>
                <w:rFonts w:eastAsia="Calibri"/>
                <w:b/>
                <w:szCs w:val="24"/>
              </w:rPr>
              <w:t>-</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31">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32">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33">
            <w:pPr>
              <w:jc w:val="center"/>
              <w:rPr>
                <w:rFonts w:eastAsia="Calibri"/>
                <w:b/>
                <w:szCs w:val="24"/>
              </w:rPr>
            </w:pPr>
            <w:r>
              <w:rPr>
                <w:rFonts w:eastAsia="Calibri"/>
                <w:b/>
                <w:szCs w:val="24"/>
              </w:rPr>
              <w:t>2</w:t>
            </w: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34">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35">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36">
            <w:pPr>
              <w:jc w:val="center"/>
              <w:rPr>
                <w:rFonts w:eastAsia="Calibri"/>
                <w:b/>
                <w:szCs w:val="24"/>
              </w:rPr>
            </w:pPr>
            <w:r>
              <w:rPr>
                <w:rFonts w:eastAsia="Calibri"/>
                <w:b/>
                <w:szCs w:val="24"/>
              </w:rPr>
              <w:t>-</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37">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38">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39">
            <w:pPr>
              <w:jc w:val="center"/>
              <w:rPr>
                <w:rFonts w:eastAsia="Calibri"/>
                <w:b/>
                <w:szCs w:val="24"/>
              </w:rPr>
            </w:pPr>
          </w:p>
        </w:tc>
      </w:tr>
      <w:tr>
        <w:trPr/>
        <w:tc>
          <w:tcPr>
            <w:cnfStyle w:val="001000100000"/>
            <w:tcW w:w="2794" w:type="dxa"/>
            <w:vMerge w:val="restart"/>
            <w:tcBorders>
              <w:top w:val="single" w:color="000000" w:sz="4" w:space="0"/>
              <w:left w:val="single" w:color="000000" w:sz="4" w:space="0"/>
              <w:bottom w:val="single" w:color="000000" w:sz="4" w:space="0"/>
              <w:right w:val="single" w:color="000000" w:sz="4" w:space="0"/>
            </w:tcBorders>
          </w:tcPr>
          <w:p w14:paraId="0000013A">
            <w:pPr>
              <w:jc w:val="center"/>
              <w:rPr>
                <w:rFonts w:eastAsia="Calibri"/>
                <w:b/>
                <w:szCs w:val="24"/>
              </w:rPr>
            </w:pPr>
            <w:r>
              <w:rPr>
                <w:rFonts w:eastAsia="Calibri"/>
                <w:b/>
                <w:szCs w:val="24"/>
              </w:rPr>
              <w:t>Тема 1.5.</w:t>
            </w:r>
          </w:p>
          <w:p w14:paraId="0000013B">
            <w:pPr>
              <w:jc w:val="center"/>
              <w:rPr>
                <w:rFonts w:eastAsia="Calibri"/>
                <w:b/>
                <w:szCs w:val="24"/>
              </w:rPr>
            </w:pPr>
            <w:r>
              <w:rPr>
                <w:rFonts w:eastAsia="Calibri"/>
                <w:b/>
                <w:szCs w:val="24"/>
              </w:rPr>
              <w:t xml:space="preserve">Нравственные отношения в правоохранительных органах </w:t>
            </w: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3C">
            <w:pPr>
              <w:pStyle w:val="NoSpacing"/>
              <w:jc w:val="both"/>
              <w:rPr>
                <w:rFonts w:ascii="Times New Roman" w:eastAsia="Calibri" w:hAnsi="Times New Roman"/>
                <w:sz w:val="24"/>
                <w:szCs w:val="24"/>
                <w:lang w:eastAsia="en-US"/>
              </w:rPr>
            </w:pPr>
            <w:r>
              <w:rPr>
                <w:rFonts w:ascii="Times New Roman" w:eastAsia="Calibri" w:hAnsi="Times New Roman"/>
                <w:b/>
                <w:sz w:val="24"/>
                <w:szCs w:val="24"/>
              </w:rPr>
              <w:t>Содержание учебного материала:</w:t>
            </w:r>
          </w:p>
        </w:tc>
        <w:tc>
          <w:tcPr>
            <w:cnfStyle w:val="000000100000"/>
            <w:tcW w:w="1559" w:type="dxa"/>
            <w:vMerge w:val="restart"/>
            <w:tcBorders>
              <w:top w:val="single" w:color="000000" w:sz="4" w:space="0"/>
              <w:left w:val="single" w:color="000000" w:sz="4" w:space="0"/>
              <w:bottom w:val="single" w:color="000000" w:sz="4" w:space="0"/>
              <w:right w:val="single" w:color="000000" w:sz="4" w:space="0"/>
            </w:tcBorders>
          </w:tcPr>
          <w:p w14:paraId="0000013D">
            <w:pPr>
              <w:jc w:val="center"/>
              <w:rPr>
                <w:rFonts w:eastAsia="Calibri"/>
                <w:b/>
                <w:szCs w:val="24"/>
              </w:rPr>
            </w:pPr>
            <w:r>
              <w:rPr>
                <w:rFonts w:eastAsia="Calibri"/>
                <w:b/>
                <w:szCs w:val="24"/>
              </w:rPr>
              <w:t>2</w:t>
            </w:r>
            <w:r>
              <w:rPr>
                <w:rFonts w:eastAsia="Calibri"/>
                <w:b/>
                <w:szCs w:val="24"/>
              </w:rPr>
              <w:t>/2</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3E">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3F">
            <w:pPr>
              <w:ind w:firstLine="709"/>
              <w:jc w:val="both"/>
              <w:rPr>
                <w:rFonts w:eastAsia="Calibri"/>
                <w:szCs w:val="24"/>
              </w:rPr>
            </w:pPr>
            <w:r>
              <w:rPr>
                <w:rFonts w:eastAsia="Calibri"/>
                <w:szCs w:val="24"/>
              </w:rPr>
              <w:t xml:space="preserve">Нравственные отношения как составная часть общественных отношений, их специфика. Структура нравственных отношений. Понятие служебного коллектива ПО и основные профессионально-нравственные характеристики его становления, развития и функционирования. Сочетание в служебном коллективе интересов отдельной личности, самого коллектива и </w:t>
            </w:r>
            <w:r>
              <w:rPr>
                <w:rFonts w:eastAsia="Calibri"/>
                <w:szCs w:val="24"/>
              </w:rPr>
              <w:t>общества в целом. Единые организационно-правовые основания для организации и функционирования служебного коллектива. Нравственно-этические, психолого-педагогические и организационные характеристики коллектива. Основные функции служебного коллектива. Факторы, определяющие продолжительность его существования, цели и задачи, уровень профессиональной и нравственной культуры его членов. Основные моральные требования, предъявляемые к деятельности служебного коллектива. Общественные организации в коллективах ПО.</w:t>
            </w:r>
          </w:p>
          <w:p w14:paraId="00000140">
            <w:pPr>
              <w:ind w:firstLine="709"/>
              <w:jc w:val="both"/>
              <w:rPr>
                <w:rFonts w:eastAsia="Calibri"/>
                <w:i/>
                <w:szCs w:val="24"/>
              </w:rPr>
            </w:pPr>
            <w:r>
              <w:rPr>
                <w:rFonts w:eastAsia="Calibri"/>
                <w:szCs w:val="24"/>
              </w:rPr>
              <w:t>Нравственные отношения как разновидность общественных отношений в органах внутренних дел. Роль нравственных отношений в становлении и развитии служебных коллективов, их стабильности и качестве выполнения служебных задач. Морально-психологический климат, общественное мнение, традиции коллектива. Нравственные конфликты, их причины и пути устранения. Нравственный потенциал коллектива и система моральных ценностей его сотрудников. Нравственные отношения служебного коллектива как объект управления. Роль руководителя и неформального лидера в управлении нравственными отношениями. Взаимоотношения между начальником и подчиненным – основа нравственных отношений в коллективе юристов. Слагаемые авторитета руководителя органа (подразделения) правоохранительных органов. Руководитель как организатор нравственных отношений в коллективе. Типы руководства служебным коллективом: авторитарный, демократический, либеральный и их влияние на моральное состояние и развитие коллектива.</w:t>
            </w:r>
          </w:p>
          <w:p w14:paraId="00000141">
            <w:pPr>
              <w:ind w:firstLine="709"/>
              <w:jc w:val="both"/>
              <w:rPr>
                <w:rFonts w:eastAsia="Calibri"/>
                <w:szCs w:val="24"/>
                <w:lang w:eastAsia="en-US"/>
              </w:rPr>
            </w:pPr>
            <w:r>
              <w:rPr>
                <w:szCs w:val="24"/>
              </w:rPr>
              <w:t>Нравственно-профессиональный конфликт, его сущность. Объективная и субъективная обусловленность конфликтов, классификация конфликтов. Возможные пути (</w:t>
            </w:r>
            <w:r>
              <w:rPr>
                <w:szCs w:val="24"/>
              </w:rPr>
              <w:t>способы)  разрешения</w:t>
            </w:r>
            <w:r>
              <w:rPr>
                <w:szCs w:val="24"/>
              </w:rPr>
              <w:t xml:space="preserve"> нравственных конфликтных ситуаций в </w:t>
            </w:r>
            <w:r>
              <w:rPr>
                <w:szCs w:val="24"/>
              </w:rPr>
              <w:t>профессиональной деятельности юриста. Механизм профилактики конфликтов в воспитательной практике и правоохранительной деятельности. Нравственные конфликты в служебном коллективе, их сущность, формы и специфика разрешения. Роль руководителя в разрешении нравственных конфликтов в служебном коллективе.</w:t>
            </w:r>
          </w:p>
        </w:tc>
        <w:tc>
          <w:tcPr>
            <w:cnfStyle w:val="000000010000"/>
            <w:tcW w:w="1559" w:type="dxa"/>
            <w:vMerge w:val="continue"/>
            <w:tcBorders>
              <w:top w:val="single" w:color="000000" w:sz="4" w:space="0"/>
              <w:left w:val="single" w:color="000000" w:sz="4" w:space="0"/>
              <w:bottom w:val="single" w:color="000000" w:sz="4" w:space="0"/>
              <w:right w:val="single" w:color="000000" w:sz="4" w:space="0"/>
            </w:tcBorders>
            <w:vAlign w:val="center"/>
          </w:tcPr>
          <w:p w14:paraId="00000142">
            <w:pPr>
              <w:rPr>
                <w:rFonts w:eastAsia="Calibri"/>
                <w:b/>
                <w:szCs w:val="24"/>
              </w:rPr>
            </w:pP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43">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44">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45">
            <w:pPr>
              <w:jc w:val="center"/>
              <w:rPr>
                <w:rFonts w:eastAsia="Calibri"/>
                <w:b/>
                <w:szCs w:val="24"/>
              </w:rPr>
            </w:pPr>
            <w:r>
              <w:rPr>
                <w:rFonts w:eastAsia="Calibri"/>
                <w:b/>
                <w:szCs w:val="24"/>
              </w:rPr>
              <w:t>-</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46">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47">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48">
            <w:pPr>
              <w:jc w:val="center"/>
              <w:rPr>
                <w:rFonts w:eastAsia="Calibri"/>
                <w:b/>
                <w:szCs w:val="24"/>
              </w:rPr>
            </w:pPr>
            <w:r>
              <w:rPr>
                <w:rFonts w:eastAsia="Calibri"/>
                <w:b/>
                <w:szCs w:val="24"/>
              </w:rPr>
              <w:t>2</w:t>
            </w: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49">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4A">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4B">
            <w:pPr>
              <w:jc w:val="center"/>
              <w:rPr>
                <w:rFonts w:eastAsia="Calibri"/>
                <w:b/>
                <w:szCs w:val="24"/>
              </w:rPr>
            </w:pPr>
            <w:r>
              <w:rPr>
                <w:rFonts w:eastAsia="Calibri"/>
                <w:b/>
                <w:szCs w:val="24"/>
              </w:rPr>
              <w:t>-</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4C">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4D">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4E">
            <w:pPr>
              <w:jc w:val="center"/>
              <w:rPr>
                <w:rFonts w:eastAsia="Calibri"/>
                <w:b/>
                <w:szCs w:val="24"/>
              </w:rPr>
            </w:pPr>
            <w:r>
              <w:rPr>
                <w:rFonts w:eastAsia="Calibri"/>
                <w:b/>
                <w:szCs w:val="24"/>
              </w:rPr>
              <w:t>-</w:t>
            </w:r>
          </w:p>
        </w:tc>
      </w:tr>
      <w:tr>
        <w:trPr/>
        <w:tc>
          <w:tcPr>
            <w:cnfStyle w:val="001000100000"/>
            <w:tcW w:w="2794" w:type="dxa"/>
            <w:vMerge w:val="restart"/>
            <w:tcBorders>
              <w:top w:val="single" w:color="000000" w:sz="4" w:space="0"/>
              <w:left w:val="single" w:color="000000" w:sz="4" w:space="0"/>
              <w:bottom w:val="single" w:color="000000" w:sz="4" w:space="0"/>
              <w:right w:val="single" w:color="000000" w:sz="4" w:space="0"/>
            </w:tcBorders>
          </w:tcPr>
          <w:p w14:paraId="0000014F">
            <w:pPr>
              <w:jc w:val="center"/>
              <w:rPr>
                <w:rFonts w:eastAsia="Calibri"/>
                <w:b/>
                <w:szCs w:val="24"/>
              </w:rPr>
            </w:pPr>
            <w:r>
              <w:rPr>
                <w:rFonts w:eastAsia="Calibri"/>
                <w:b/>
                <w:szCs w:val="24"/>
              </w:rPr>
              <w:t>Тема 1.6.</w:t>
            </w:r>
          </w:p>
          <w:p w14:paraId="00000150">
            <w:pPr>
              <w:tabs>
                <w:tab w:val="left" w:pos="1560"/>
                <w:tab w:val="left" w:pos="1843"/>
              </w:tabs>
              <w:ind w:firstLine="709"/>
              <w:jc w:val="center"/>
              <w:rPr>
                <w:rFonts w:eastAsia="Calibri"/>
                <w:b/>
                <w:szCs w:val="24"/>
              </w:rPr>
            </w:pPr>
            <w:r>
              <w:rPr>
                <w:b/>
                <w:bCs/>
                <w:spacing w:val="-4"/>
                <w:szCs w:val="24"/>
              </w:rPr>
              <w:t xml:space="preserve">Профессионально-этический стандарт антикоррупционного поведения </w:t>
            </w:r>
            <w:r>
              <w:rPr>
                <w:b/>
                <w:spacing w:val="-4"/>
                <w:szCs w:val="24"/>
              </w:rPr>
              <w:t xml:space="preserve">сотрудников </w:t>
            </w:r>
            <w:r>
              <w:rPr>
                <w:b/>
                <w:spacing w:val="-4"/>
                <w:szCs w:val="24"/>
              </w:rPr>
              <w:t>правоохранительныхорганов</w:t>
            </w:r>
            <w:r>
              <w:rPr>
                <w:b/>
                <w:spacing w:val="-4"/>
                <w:szCs w:val="24"/>
              </w:rPr>
              <w:t xml:space="preserve"> </w:t>
            </w: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51">
            <w:pPr>
              <w:pStyle w:val="NoSpacing"/>
              <w:jc w:val="both"/>
              <w:rPr>
                <w:rFonts w:ascii="Times New Roman" w:eastAsia="Calibri" w:hAnsi="Times New Roman"/>
                <w:sz w:val="24"/>
                <w:szCs w:val="24"/>
                <w:lang w:eastAsia="en-US"/>
              </w:rPr>
            </w:pPr>
            <w:r>
              <w:rPr>
                <w:rFonts w:ascii="Times New Roman" w:eastAsia="Calibri" w:hAnsi="Times New Roman"/>
                <w:b/>
                <w:sz w:val="24"/>
                <w:szCs w:val="24"/>
              </w:rPr>
              <w:t>Содержание учебного материала:</w:t>
            </w:r>
          </w:p>
        </w:tc>
        <w:tc>
          <w:tcPr>
            <w:cnfStyle w:val="000000100000"/>
            <w:tcW w:w="1559" w:type="dxa"/>
            <w:vMerge w:val="restart"/>
            <w:tcBorders>
              <w:top w:val="single" w:color="000000" w:sz="4" w:space="0"/>
              <w:left w:val="single" w:color="000000" w:sz="4" w:space="0"/>
              <w:bottom w:val="single" w:color="000000" w:sz="4" w:space="0"/>
              <w:right w:val="single" w:color="000000" w:sz="4" w:space="0"/>
            </w:tcBorders>
          </w:tcPr>
          <w:p w14:paraId="00000152">
            <w:pPr>
              <w:jc w:val="center"/>
              <w:rPr>
                <w:rFonts w:eastAsia="Calibri"/>
                <w:b/>
                <w:szCs w:val="24"/>
                <w:highlight w:val="yellow"/>
              </w:rPr>
            </w:pPr>
          </w:p>
          <w:p w14:paraId="00000153">
            <w:pPr>
              <w:jc w:val="center"/>
              <w:rPr>
                <w:rFonts w:eastAsia="Calibri"/>
                <w:b/>
                <w:szCs w:val="24"/>
              </w:rPr>
            </w:pPr>
            <w:r>
              <w:rPr>
                <w:rFonts w:eastAsia="Calibri"/>
                <w:b/>
                <w:szCs w:val="24"/>
              </w:rPr>
              <w:t>2</w:t>
            </w:r>
            <w:r>
              <w:rPr>
                <w:rFonts w:eastAsia="Calibri"/>
                <w:b/>
                <w:szCs w:val="24"/>
              </w:rPr>
              <w:t>/2</w:t>
            </w:r>
          </w:p>
          <w:p w14:paraId="00000154">
            <w:pPr>
              <w:jc w:val="center"/>
              <w:rPr>
                <w:rFonts w:eastAsia="Calibri"/>
                <w:b/>
                <w:szCs w:val="24"/>
              </w:rPr>
            </w:pPr>
          </w:p>
        </w:tc>
      </w:tr>
      <w:tr>
        <w:trPr>
          <w:trHeight w:val="276"/>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55">
            <w:pPr>
              <w:rPr>
                <w:rFonts w:eastAsia="Calibri"/>
                <w:b/>
                <w:szCs w:val="24"/>
              </w:rPr>
            </w:pPr>
          </w:p>
        </w:tc>
        <w:tc>
          <w:tcPr>
            <w:cnfStyle w:val="000000010000"/>
            <w:tcW w:w="4861" w:type="dxa"/>
            <w:vMerge w:val="restart"/>
            <w:tcBorders>
              <w:top w:val="single" w:color="000000" w:sz="4" w:space="0"/>
              <w:left w:val="single" w:color="000000" w:sz="4" w:space="0"/>
              <w:bottom w:val="single" w:color="000000" w:sz="4" w:space="0"/>
              <w:right w:val="single" w:color="auto" w:sz="4" w:space="0"/>
            </w:tcBorders>
          </w:tcPr>
          <w:p w14:paraId="00000156">
            <w:pPr>
              <w:ind w:firstLine="709"/>
              <w:jc w:val="both"/>
              <w:rPr>
                <w:szCs w:val="24"/>
              </w:rPr>
            </w:pPr>
            <w:r>
              <w:rPr>
                <w:szCs w:val="24"/>
              </w:rPr>
              <w:t>Понятие, виды и механизмы коррупции с точки зрения правовых институтов и этических норм. Коррупция в органах власти, корпорациях и обществе. Причины коррупции, связанные с внешней средой. Факторы роста коррупции.</w:t>
            </w:r>
            <w:r>
              <w:rPr>
                <w:bCs/>
                <w:szCs w:val="24"/>
              </w:rPr>
              <w:t xml:space="preserve"> З</w:t>
            </w:r>
            <w:r>
              <w:rPr>
                <w:szCs w:val="24"/>
              </w:rPr>
              <w:t xml:space="preserve">арубежный и отечественный опыт и современная российская модель противодействия коррупции. Меры государства по противодействию коррупции: правовые и политико-этические аспекты. Нетрадиционные модели и подходы в противодействии и борьбе с коррупцией. </w:t>
            </w:r>
          </w:p>
          <w:p w14:paraId="00000157">
            <w:pPr>
              <w:ind w:firstLine="709"/>
              <w:jc w:val="both"/>
              <w:rPr>
                <w:szCs w:val="24"/>
              </w:rPr>
            </w:pPr>
            <w:r>
              <w:rPr>
                <w:szCs w:val="24"/>
              </w:rPr>
              <w:t xml:space="preserve">Коррупция в органах внутренних дел, сущность и виды. Условия и факторы, детерминирующие коррупцию как проявление </w:t>
            </w:r>
            <w:r>
              <w:rPr>
                <w:iCs/>
                <w:szCs w:val="24"/>
              </w:rPr>
              <w:t>нравственно-профессиональной</w:t>
            </w:r>
            <w:r>
              <w:rPr>
                <w:szCs w:val="24"/>
              </w:rPr>
              <w:t xml:space="preserve"> деформации личности сотрудника ПО. Этические </w:t>
            </w:r>
            <w:r>
              <w:rPr>
                <w:szCs w:val="24"/>
              </w:rPr>
              <w:t>нормы  как</w:t>
            </w:r>
            <w:r>
              <w:rPr>
                <w:szCs w:val="24"/>
              </w:rPr>
              <w:t xml:space="preserve"> социально-правовой механизм предотвращения коррупции в деятельности органов внутренних дел.</w:t>
            </w:r>
          </w:p>
          <w:p w14:paraId="00000158">
            <w:pPr>
              <w:ind w:firstLine="709"/>
              <w:jc w:val="both"/>
              <w:rPr>
                <w:rFonts w:eastAsia="Calibri"/>
                <w:szCs w:val="24"/>
                <w:lang w:eastAsia="en-US"/>
              </w:rPr>
            </w:pPr>
            <w:r>
              <w:rPr>
                <w:szCs w:val="24"/>
              </w:rPr>
              <w:t>Личностный фактор в проявлениях коррупции в деятельности ПО Общественное мнение и средства массовой информации в отражении фактов коррупции в среде сотрудников органов внутренних дел. Необходимость формирования положительного общественного мнения о деятельности органов внутренних дел в современных условиях. Профессионально-этический стандарт антикоррупционного поведения сотрудников ПО.</w:t>
            </w:r>
          </w:p>
        </w:tc>
        <w:tc>
          <w:tcPr>
            <w:cnfStyle w:val="000000010000"/>
            <w:tcW w:w="1559" w:type="dxa"/>
            <w:vMerge w:val="continue"/>
            <w:tcBorders>
              <w:top w:val="single" w:color="000000" w:sz="4" w:space="0"/>
              <w:left w:val="single" w:color="000000" w:sz="4" w:space="0"/>
              <w:bottom w:val="single" w:color="000000" w:sz="4" w:space="0"/>
              <w:right w:val="single" w:color="000000" w:sz="4" w:space="0"/>
            </w:tcBorders>
            <w:vAlign w:val="center"/>
          </w:tcPr>
          <w:p w14:paraId="00000159">
            <w:pPr>
              <w:rPr>
                <w:rFonts w:eastAsia="Calibri"/>
                <w:b/>
                <w:szCs w:val="24"/>
              </w:rPr>
            </w:pPr>
          </w:p>
        </w:tc>
      </w:tr>
      <w:tr>
        <w:trPr>
          <w:trHeight w:val="322"/>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5A">
            <w:pPr>
              <w:rPr>
                <w:rFonts w:eastAsia="Calibri"/>
                <w:b/>
                <w:szCs w:val="24"/>
              </w:rPr>
            </w:pPr>
          </w:p>
        </w:tc>
        <w:tc>
          <w:tcPr>
            <w:cnfStyle w:val="000000100000"/>
            <w:tcW w:w="4861" w:type="dxa"/>
            <w:vMerge w:val="continue"/>
            <w:tcBorders>
              <w:top w:val="single" w:color="000000" w:sz="4" w:space="0"/>
              <w:left w:val="single" w:color="000000" w:sz="4" w:space="0"/>
              <w:bottom w:val="single" w:color="000000" w:sz="4" w:space="0"/>
              <w:right w:val="single" w:color="auto" w:sz="4" w:space="0"/>
            </w:tcBorders>
            <w:vAlign w:val="center"/>
          </w:tcPr>
          <w:p w14:paraId="0000015B">
            <w:pPr>
              <w:rPr>
                <w:rFonts w:eastAsia="Calibri"/>
                <w:szCs w:val="24"/>
                <w:lang w:eastAsia="en-US"/>
              </w:rPr>
            </w:pPr>
          </w:p>
        </w:tc>
        <w:tc>
          <w:tcPr>
            <w:cnfStyle w:val="000000100000"/>
            <w:tcW w:w="1559" w:type="dxa"/>
            <w:vMerge w:val="continue"/>
            <w:tcBorders>
              <w:top w:val="single" w:color="000000" w:sz="4" w:space="0"/>
              <w:left w:val="single" w:color="000000" w:sz="4" w:space="0"/>
              <w:bottom w:val="single" w:color="000000" w:sz="4" w:space="0"/>
              <w:right w:val="single" w:color="000000" w:sz="4" w:space="0"/>
            </w:tcBorders>
            <w:vAlign w:val="center"/>
          </w:tcPr>
          <w:p w14:paraId="0000015C">
            <w:pPr>
              <w:rPr>
                <w:rFonts w:eastAsia="Calibri"/>
                <w:b/>
                <w:szCs w:val="24"/>
              </w:rPr>
            </w:pP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5D">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5E">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5F">
            <w:pPr>
              <w:jc w:val="center"/>
              <w:rPr>
                <w:rFonts w:eastAsia="Calibri"/>
                <w:b/>
                <w:szCs w:val="24"/>
              </w:rPr>
            </w:pPr>
            <w:r>
              <w:rPr>
                <w:rFonts w:eastAsia="Calibri"/>
                <w:b/>
                <w:szCs w:val="24"/>
              </w:rPr>
              <w:t>-</w:t>
            </w: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60">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61">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62">
            <w:pPr>
              <w:jc w:val="center"/>
              <w:rPr>
                <w:rFonts w:eastAsia="Calibri"/>
                <w:b/>
                <w:szCs w:val="24"/>
              </w:rPr>
            </w:pPr>
            <w:r>
              <w:rPr>
                <w:rFonts w:eastAsia="Calibri"/>
                <w:b/>
                <w:szCs w:val="24"/>
              </w:rPr>
              <w:t>2</w:t>
            </w:r>
          </w:p>
          <w:p w14:paraId="00000163">
            <w:pPr>
              <w:jc w:val="center"/>
              <w:rPr>
                <w:rFonts w:eastAsia="Calibri"/>
                <w:b/>
                <w:szCs w:val="24"/>
              </w:rPr>
            </w:pP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64">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65">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66">
            <w:pPr>
              <w:jc w:val="center"/>
              <w:rPr>
                <w:rFonts w:eastAsia="Calibri"/>
                <w:b/>
                <w:szCs w:val="24"/>
              </w:rPr>
            </w:pPr>
            <w:r>
              <w:rPr>
                <w:rFonts w:eastAsia="Calibri"/>
                <w:b/>
                <w:szCs w:val="24"/>
              </w:rPr>
              <w:t>-</w:t>
            </w: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67">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68">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100000"/>
            <w:tcW w:w="1559" w:type="dxa"/>
            <w:tcBorders>
              <w:top w:val="single" w:color="000000" w:sz="4" w:space="0"/>
              <w:left w:val="single" w:color="000000" w:sz="4" w:space="0"/>
              <w:bottom w:val="single" w:color="auto" w:sz="4" w:space="0"/>
              <w:right w:val="single" w:color="000000" w:sz="4" w:space="0"/>
            </w:tcBorders>
          </w:tcPr>
          <w:p w14:paraId="00000169">
            <w:pPr>
              <w:jc w:val="center"/>
              <w:rPr>
                <w:rFonts w:eastAsia="Calibri"/>
                <w:b/>
                <w:szCs w:val="24"/>
              </w:rPr>
            </w:pPr>
            <w:r>
              <w:rPr>
                <w:rFonts w:eastAsia="Calibri"/>
                <w:b/>
                <w:szCs w:val="24"/>
              </w:rPr>
              <w:t>-</w:t>
            </w:r>
          </w:p>
          <w:p w14:paraId="0000016A">
            <w:pPr>
              <w:jc w:val="both"/>
              <w:rPr>
                <w:rFonts w:eastAsia="Calibri"/>
                <w:b/>
                <w:szCs w:val="24"/>
              </w:rPr>
            </w:pPr>
          </w:p>
        </w:tc>
      </w:tr>
      <w:tr>
        <w:trPr>
          <w:trHeight w:val="375"/>
        </w:trPr>
        <w:tc>
          <w:tcPr>
            <w:cnfStyle w:val="001000010000"/>
            <w:tcW w:w="2794" w:type="dxa"/>
            <w:vMerge w:val="restart"/>
            <w:tcBorders>
              <w:top w:val="single" w:color="000000" w:sz="4" w:space="0"/>
              <w:left w:val="single" w:color="000000" w:sz="4" w:space="0"/>
              <w:bottom w:val="single" w:color="000000" w:sz="4" w:space="0"/>
              <w:right w:val="single" w:color="000000" w:sz="4" w:space="0"/>
            </w:tcBorders>
          </w:tcPr>
          <w:p w14:paraId="0000016B">
            <w:pPr>
              <w:jc w:val="center"/>
              <w:rPr>
                <w:rFonts w:eastAsia="Calibri"/>
                <w:b/>
                <w:szCs w:val="24"/>
              </w:rPr>
            </w:pPr>
            <w:r>
              <w:rPr>
                <w:rFonts w:eastAsia="Calibri"/>
                <w:b/>
                <w:szCs w:val="24"/>
              </w:rPr>
              <w:t>Тема 1.7.</w:t>
            </w:r>
          </w:p>
          <w:p w14:paraId="0000016C">
            <w:pPr>
              <w:jc w:val="center"/>
              <w:rPr>
                <w:rFonts w:eastAsia="Calibri"/>
                <w:b/>
                <w:szCs w:val="24"/>
              </w:rPr>
            </w:pPr>
            <w:r>
              <w:rPr>
                <w:b/>
                <w:szCs w:val="24"/>
              </w:rPr>
              <w:t>Профессиональная нравственная деформация сотрудников правоохранительных органов</w:t>
            </w: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6D">
            <w:pPr>
              <w:pStyle w:val="NoSpacing"/>
              <w:jc w:val="both"/>
              <w:rPr>
                <w:rFonts w:ascii="Times New Roman" w:eastAsia="Calibri" w:hAnsi="Times New Roman"/>
                <w:sz w:val="24"/>
                <w:szCs w:val="24"/>
                <w:lang w:eastAsia="en-US"/>
              </w:rPr>
            </w:pPr>
            <w:r>
              <w:rPr>
                <w:rFonts w:ascii="Times New Roman" w:eastAsia="Calibri" w:hAnsi="Times New Roman"/>
                <w:b/>
                <w:sz w:val="24"/>
                <w:szCs w:val="24"/>
              </w:rPr>
              <w:t>Содержание учебного материала:</w:t>
            </w:r>
          </w:p>
        </w:tc>
        <w:tc>
          <w:tcPr>
            <w:cnfStyle w:val="000000010000"/>
            <w:tcW w:w="1559" w:type="dxa"/>
            <w:vMerge w:val="restart"/>
            <w:tcBorders>
              <w:top w:val="single" w:color="auto" w:sz="4" w:space="0"/>
              <w:left w:val="single" w:color="000000" w:sz="4" w:space="0"/>
              <w:bottom w:val="single" w:color="000000" w:sz="4" w:space="0"/>
              <w:right w:val="single" w:color="000000" w:sz="4" w:space="0"/>
            </w:tcBorders>
          </w:tcPr>
          <w:p w14:paraId="0000016E">
            <w:pPr>
              <w:jc w:val="center"/>
              <w:rPr>
                <w:rFonts w:eastAsia="Calibri"/>
                <w:b/>
                <w:szCs w:val="24"/>
              </w:rPr>
            </w:pPr>
            <w:r>
              <w:rPr>
                <w:rFonts w:eastAsia="Calibri"/>
                <w:b/>
                <w:szCs w:val="24"/>
              </w:rPr>
              <w:t>2</w:t>
            </w:r>
            <w:r>
              <w:rPr>
                <w:rFonts w:eastAsia="Calibri"/>
                <w:b/>
                <w:szCs w:val="24"/>
              </w:rPr>
              <w:t>/2</w:t>
            </w:r>
          </w:p>
          <w:p w14:paraId="0000016F">
            <w:pPr>
              <w:jc w:val="center"/>
              <w:rPr>
                <w:rFonts w:eastAsia="Calibri"/>
                <w:b/>
                <w:szCs w:val="24"/>
                <w:highlight w:val="yellow"/>
              </w:rPr>
            </w:pPr>
          </w:p>
        </w:tc>
      </w:tr>
      <w:tr>
        <w:trPr>
          <w:trHeight w:val="322"/>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70">
            <w:pPr>
              <w:rPr>
                <w:rFonts w:eastAsia="Calibri"/>
                <w:b/>
                <w:szCs w:val="24"/>
              </w:rPr>
            </w:pPr>
          </w:p>
        </w:tc>
        <w:tc>
          <w:tcPr>
            <w:cnfStyle w:val="000000100000"/>
            <w:tcW w:w="4861" w:type="dxa"/>
            <w:vMerge w:val="restart"/>
            <w:tcBorders>
              <w:top w:val="single" w:color="auto" w:sz="4" w:space="0"/>
              <w:left w:val="single" w:color="000000" w:sz="4" w:space="0"/>
              <w:bottom w:val="single" w:color="000000" w:sz="4" w:space="0"/>
              <w:right w:val="single" w:color="auto" w:sz="4" w:space="0"/>
            </w:tcBorders>
          </w:tcPr>
          <w:p w14:paraId="00000171">
            <w:pPr>
              <w:ind w:firstLine="709"/>
              <w:jc w:val="both"/>
              <w:rPr>
                <w:spacing w:val="-8"/>
                <w:szCs w:val="24"/>
              </w:rPr>
            </w:pPr>
            <w:r>
              <w:rPr>
                <w:spacing w:val="-8"/>
                <w:szCs w:val="24"/>
              </w:rPr>
              <w:t xml:space="preserve">Сущность профессионально-нравственной деформации, ее причины, формы проявления и пути её предупреждения и преодоления. Нравственно-профессиональная деформация личности и проблема духовности. </w:t>
            </w:r>
            <w:r>
              <w:rPr>
                <w:szCs w:val="24"/>
              </w:rPr>
              <w:t xml:space="preserve">Причины возникновения и структура нравственно-профессиональной деформации сотрудников ПО в современных условиях. </w:t>
            </w:r>
            <w:r>
              <w:rPr>
                <w:spacing w:val="-8"/>
                <w:szCs w:val="24"/>
              </w:rPr>
              <w:t xml:space="preserve">Диалектика нравственного и </w:t>
            </w:r>
            <w:r>
              <w:rPr>
                <w:spacing w:val="-8"/>
                <w:szCs w:val="24"/>
              </w:rPr>
              <w:t>профессионального  в</w:t>
            </w:r>
            <w:r>
              <w:rPr>
                <w:spacing w:val="-8"/>
                <w:szCs w:val="24"/>
              </w:rPr>
              <w:t xml:space="preserve"> деформации  личности сотрудника правоохранительных органов.</w:t>
            </w:r>
          </w:p>
          <w:p w14:paraId="00000172">
            <w:pPr>
              <w:ind w:firstLine="709"/>
              <w:jc w:val="both"/>
              <w:rPr>
                <w:szCs w:val="24"/>
              </w:rPr>
            </w:pPr>
            <w:r>
              <w:rPr>
                <w:szCs w:val="24"/>
              </w:rPr>
              <w:t xml:space="preserve">Проблемы преодоления и профилактики профессионально-нравственной деформации сотрудников ПО. </w:t>
            </w:r>
            <w:r>
              <w:rPr>
                <w:spacing w:val="-8"/>
                <w:szCs w:val="24"/>
              </w:rPr>
              <w:t xml:space="preserve">Профилактика нравственно-профессиональной деформации сотрудников органов внутренних дел. Диалектика объективных условий и личностных качеств человека в противостоянии процессу деформации. </w:t>
            </w:r>
            <w:r>
              <w:rPr>
                <w:szCs w:val="24"/>
              </w:rPr>
              <w:t xml:space="preserve">Престиж профессии сотрудника </w:t>
            </w:r>
            <w:r>
              <w:rPr>
                <w:spacing w:val="-8"/>
                <w:szCs w:val="24"/>
              </w:rPr>
              <w:t>правоохранительных</w:t>
            </w:r>
            <w:r>
              <w:rPr>
                <w:szCs w:val="24"/>
              </w:rPr>
              <w:t xml:space="preserve"> органов. </w:t>
            </w:r>
          </w:p>
          <w:p w14:paraId="00000173">
            <w:pPr>
              <w:ind w:firstLine="709"/>
              <w:jc w:val="both"/>
              <w:rPr>
                <w:rFonts w:eastAsia="Calibri"/>
                <w:szCs w:val="24"/>
              </w:rPr>
            </w:pPr>
            <w:r>
              <w:rPr>
                <w:szCs w:val="24"/>
              </w:rPr>
              <w:t xml:space="preserve">Особенности нравственной оценки деятельности </w:t>
            </w:r>
            <w:r>
              <w:rPr>
                <w:spacing w:val="-8"/>
                <w:szCs w:val="24"/>
              </w:rPr>
              <w:t>правоохранительных</w:t>
            </w:r>
            <w:r>
              <w:rPr>
                <w:szCs w:val="24"/>
              </w:rPr>
              <w:t xml:space="preserve"> органов общественным мнением. Условия и факторы, влияющие на оценку деятельности ПО. </w:t>
            </w:r>
            <w:r>
              <w:rPr>
                <w:spacing w:val="-8"/>
                <w:szCs w:val="24"/>
              </w:rPr>
              <w:t>Кадровая и воспитательная работа, роль руководителя в профилактике явлений профессиональной деформации.</w:t>
            </w:r>
          </w:p>
        </w:tc>
        <w:tc>
          <w:tcPr>
            <w:cnfStyle w:val="000000100000"/>
            <w:tcW w:w="1559" w:type="dxa"/>
            <w:vMerge w:val="continue"/>
            <w:tcBorders>
              <w:top w:val="single" w:color="auto" w:sz="4" w:space="0"/>
              <w:left w:val="single" w:color="000000" w:sz="4" w:space="0"/>
              <w:bottom w:val="single" w:color="000000" w:sz="4" w:space="0"/>
              <w:right w:val="single" w:color="000000" w:sz="4" w:space="0"/>
            </w:tcBorders>
            <w:vAlign w:val="center"/>
          </w:tcPr>
          <w:p w14:paraId="00000174">
            <w:pPr>
              <w:rPr>
                <w:rFonts w:eastAsia="Calibri"/>
                <w:b/>
                <w:szCs w:val="24"/>
                <w:highlight w:val="yellow"/>
              </w:rPr>
            </w:pPr>
          </w:p>
        </w:tc>
      </w:tr>
      <w:tr>
        <w:trPr>
          <w:trHeight w:val="322"/>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75">
            <w:pPr>
              <w:rPr>
                <w:rFonts w:eastAsia="Calibri"/>
                <w:b/>
                <w:szCs w:val="24"/>
              </w:rPr>
            </w:pPr>
          </w:p>
        </w:tc>
        <w:tc>
          <w:tcPr>
            <w:cnfStyle w:val="000000010000"/>
            <w:tcW w:w="4861" w:type="dxa"/>
            <w:vMerge w:val="continue"/>
            <w:tcBorders>
              <w:top w:val="single" w:color="auto" w:sz="4" w:space="0"/>
              <w:left w:val="single" w:color="000000" w:sz="4" w:space="0"/>
              <w:bottom w:val="single" w:color="000000" w:sz="4" w:space="0"/>
              <w:right w:val="single" w:color="auto" w:sz="4" w:space="0"/>
            </w:tcBorders>
            <w:vAlign w:val="center"/>
          </w:tcPr>
          <w:p w14:paraId="00000176">
            <w:pPr>
              <w:rPr>
                <w:rFonts w:eastAsia="Calibri"/>
                <w:szCs w:val="24"/>
              </w:rPr>
            </w:pPr>
          </w:p>
        </w:tc>
        <w:tc>
          <w:tcPr>
            <w:cnfStyle w:val="000000010000"/>
            <w:tcW w:w="1559" w:type="dxa"/>
            <w:vMerge w:val="continue"/>
            <w:tcBorders>
              <w:top w:val="single" w:color="auto" w:sz="4" w:space="0"/>
              <w:left w:val="single" w:color="000000" w:sz="4" w:space="0"/>
              <w:bottom w:val="single" w:color="000000" w:sz="4" w:space="0"/>
              <w:right w:val="single" w:color="000000" w:sz="4" w:space="0"/>
            </w:tcBorders>
            <w:vAlign w:val="center"/>
          </w:tcPr>
          <w:p w14:paraId="00000177">
            <w:pPr>
              <w:rPr>
                <w:rFonts w:eastAsia="Calibri"/>
                <w:b/>
                <w:szCs w:val="24"/>
                <w:highlight w:val="yellow"/>
              </w:rPr>
            </w:pP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78">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79">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7A">
            <w:pPr>
              <w:jc w:val="center"/>
              <w:rPr>
                <w:rFonts w:eastAsia="Calibri"/>
                <w:b/>
                <w:szCs w:val="24"/>
                <w:highlight w:val="yellow"/>
              </w:rPr>
            </w:pPr>
            <w:r>
              <w:rPr>
                <w:rFonts w:eastAsia="Calibri"/>
                <w:b/>
                <w:szCs w:val="24"/>
              </w:rPr>
              <w:t>-</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7B">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7C">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7D">
            <w:pPr>
              <w:jc w:val="center"/>
              <w:rPr>
                <w:rFonts w:eastAsia="Calibri"/>
                <w:b/>
                <w:szCs w:val="24"/>
                <w:highlight w:val="yellow"/>
              </w:rPr>
            </w:pPr>
            <w:r>
              <w:rPr>
                <w:rFonts w:eastAsia="Calibri"/>
                <w:b/>
                <w:szCs w:val="24"/>
              </w:rPr>
              <w:t>2</w:t>
            </w: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7E">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7F">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80">
            <w:pPr>
              <w:jc w:val="center"/>
              <w:rPr>
                <w:rFonts w:eastAsia="Calibri"/>
                <w:b/>
                <w:szCs w:val="24"/>
                <w:highlight w:val="yellow"/>
              </w:rPr>
            </w:pPr>
            <w:r>
              <w:rPr>
                <w:rFonts w:eastAsia="Calibri"/>
                <w:b/>
                <w:szCs w:val="24"/>
              </w:rPr>
              <w:t>-</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81">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82">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83">
            <w:pPr>
              <w:jc w:val="center"/>
              <w:rPr>
                <w:rFonts w:eastAsia="Calibri"/>
                <w:b/>
                <w:szCs w:val="24"/>
                <w:highlight w:val="yellow"/>
              </w:rPr>
            </w:pPr>
            <w:r>
              <w:rPr>
                <w:rFonts w:eastAsia="Calibri"/>
                <w:b/>
                <w:szCs w:val="24"/>
              </w:rPr>
              <w:t>-</w:t>
            </w:r>
          </w:p>
        </w:tc>
      </w:tr>
      <w:tr>
        <w:trPr/>
        <w:tc>
          <w:tcPr>
            <w:cnfStyle w:val="001000100000"/>
            <w:tcW w:w="2794" w:type="dxa"/>
            <w:vMerge w:val="restart"/>
            <w:tcBorders>
              <w:top w:val="single" w:color="000000" w:sz="4" w:space="0"/>
              <w:left w:val="single" w:color="000000" w:sz="4" w:space="0"/>
              <w:bottom w:val="single" w:color="000000" w:sz="4" w:space="0"/>
              <w:right w:val="single" w:color="000000" w:sz="4" w:space="0"/>
            </w:tcBorders>
          </w:tcPr>
          <w:p w14:paraId="00000184">
            <w:pPr>
              <w:jc w:val="center"/>
              <w:rPr>
                <w:rFonts w:eastAsia="Calibri"/>
                <w:b/>
                <w:szCs w:val="24"/>
              </w:rPr>
            </w:pPr>
            <w:r>
              <w:rPr>
                <w:rFonts w:eastAsia="Calibri"/>
                <w:b/>
                <w:szCs w:val="24"/>
              </w:rPr>
              <w:t>Тема 1.8.</w:t>
            </w:r>
          </w:p>
          <w:p w14:paraId="00000185">
            <w:pPr>
              <w:ind w:firstLine="709"/>
              <w:jc w:val="center"/>
              <w:rPr>
                <w:b/>
                <w:szCs w:val="24"/>
              </w:rPr>
            </w:pPr>
            <w:r>
              <w:rPr>
                <w:b/>
                <w:szCs w:val="24"/>
              </w:rPr>
              <w:t xml:space="preserve">Культура устной и письменной </w:t>
            </w:r>
            <w:r>
              <w:rPr>
                <w:b/>
                <w:szCs w:val="24"/>
              </w:rPr>
              <w:t>речи  и</w:t>
            </w:r>
            <w:r>
              <w:rPr>
                <w:b/>
                <w:szCs w:val="24"/>
              </w:rPr>
              <w:t xml:space="preserve"> ее проявление в поведении и деятельности юриста</w:t>
            </w:r>
          </w:p>
          <w:p w14:paraId="00000186">
            <w:pPr>
              <w:jc w:val="cente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87">
            <w:pPr>
              <w:pStyle w:val="NoSpacing"/>
              <w:jc w:val="both"/>
              <w:rPr>
                <w:rFonts w:ascii="Times New Roman" w:eastAsia="Calibri" w:hAnsi="Times New Roman"/>
                <w:sz w:val="24"/>
                <w:szCs w:val="24"/>
                <w:lang w:eastAsia="en-US"/>
              </w:rPr>
            </w:pPr>
            <w:r>
              <w:rPr>
                <w:rFonts w:ascii="Times New Roman" w:eastAsia="Calibri" w:hAnsi="Times New Roman"/>
                <w:b/>
                <w:sz w:val="24"/>
                <w:szCs w:val="24"/>
              </w:rPr>
              <w:t>Содержание учебного материала:</w:t>
            </w:r>
          </w:p>
        </w:tc>
        <w:tc>
          <w:tcPr>
            <w:cnfStyle w:val="000000100000"/>
            <w:tcW w:w="1559" w:type="dxa"/>
            <w:vMerge w:val="restart"/>
            <w:tcBorders>
              <w:top w:val="single" w:color="000000" w:sz="4" w:space="0"/>
              <w:left w:val="single" w:color="000000" w:sz="4" w:space="0"/>
              <w:bottom w:val="single" w:color="000000" w:sz="4" w:space="0"/>
              <w:right w:val="single" w:color="000000" w:sz="4" w:space="0"/>
            </w:tcBorders>
          </w:tcPr>
          <w:p w14:paraId="00000188">
            <w:pPr>
              <w:jc w:val="center"/>
              <w:rPr>
                <w:rFonts w:eastAsia="Calibri"/>
                <w:b/>
                <w:szCs w:val="24"/>
              </w:rPr>
            </w:pPr>
            <w:r>
              <w:rPr>
                <w:rFonts w:eastAsia="Calibri"/>
                <w:b/>
                <w:szCs w:val="24"/>
              </w:rPr>
              <w:t>2</w:t>
            </w:r>
            <w:r>
              <w:rPr>
                <w:rFonts w:eastAsia="Calibri"/>
                <w:b/>
                <w:szCs w:val="24"/>
              </w:rPr>
              <w:t>/2</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89">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8A">
            <w:pPr>
              <w:ind w:firstLine="709"/>
              <w:jc w:val="both"/>
              <w:rPr>
                <w:rFonts w:eastAsia="Calibri"/>
                <w:szCs w:val="24"/>
              </w:rPr>
            </w:pPr>
            <w:r>
              <w:rPr>
                <w:rFonts w:eastAsia="Calibri"/>
                <w:szCs w:val="24"/>
              </w:rPr>
              <w:t xml:space="preserve">Родная речь – одна из важнейших этических основ культуры и служебного этикета </w:t>
            </w:r>
            <w:r>
              <w:rPr>
                <w:szCs w:val="24"/>
              </w:rPr>
              <w:t>юриста</w:t>
            </w:r>
            <w:r>
              <w:rPr>
                <w:rFonts w:eastAsia="Calibri"/>
                <w:szCs w:val="24"/>
              </w:rPr>
              <w:t xml:space="preserve">.  Русский язык – язык межнационального и международного общения и этикета, феномен мировой культуры. Культура речи как зеркало личности </w:t>
            </w:r>
            <w:r>
              <w:rPr>
                <w:szCs w:val="24"/>
              </w:rPr>
              <w:t>юриста</w:t>
            </w:r>
            <w:r>
              <w:rPr>
                <w:rFonts w:eastAsia="Calibri"/>
                <w:szCs w:val="24"/>
              </w:rPr>
              <w:t xml:space="preserve">.  </w:t>
            </w:r>
          </w:p>
          <w:p w14:paraId="0000018B">
            <w:pPr>
              <w:ind w:firstLine="709"/>
              <w:jc w:val="both"/>
              <w:rPr>
                <w:rFonts w:eastAsia="Calibri"/>
                <w:szCs w:val="24"/>
              </w:rPr>
            </w:pPr>
            <w:r>
              <w:rPr>
                <w:rFonts w:eastAsia="Calibri"/>
                <w:szCs w:val="24"/>
              </w:rPr>
              <w:t xml:space="preserve">Речь – важное условие и средство коммуникации, профессионального мастерства. Культура речи и профессионализм. Овладение основными элементами устной речи: дикция - чёткость произношения, орфоэпия – </w:t>
            </w:r>
            <w:r>
              <w:rPr>
                <w:rFonts w:eastAsia="Calibri"/>
                <w:szCs w:val="24"/>
              </w:rPr>
              <w:t xml:space="preserve">правильность (нормы) произношения, владение голосом, умение стилистически и логически грамотно строить высказывание: от </w:t>
            </w:r>
            <w:r>
              <w:rPr>
                <w:rFonts w:eastAsia="Calibri"/>
                <w:szCs w:val="24"/>
              </w:rPr>
              <w:t>культуры  мысли</w:t>
            </w:r>
            <w:r>
              <w:rPr>
                <w:rFonts w:eastAsia="Calibri"/>
                <w:szCs w:val="24"/>
              </w:rPr>
              <w:t xml:space="preserve">  – к культуре  речи. </w:t>
            </w:r>
          </w:p>
          <w:p w14:paraId="0000018C">
            <w:pPr>
              <w:ind w:firstLine="709"/>
              <w:jc w:val="both"/>
              <w:rPr>
                <w:rFonts w:eastAsia="Calibri"/>
                <w:szCs w:val="24"/>
              </w:rPr>
            </w:pPr>
            <w:r>
              <w:rPr>
                <w:rFonts w:eastAsia="Calibri"/>
                <w:szCs w:val="24"/>
              </w:rPr>
              <w:t xml:space="preserve">Речевые дефекты. Отклонения от речевой нормы: органические и функциональные.  Характерные ошибки в речи: примитивизм, вульгаризм, </w:t>
            </w:r>
            <w:r>
              <w:rPr>
                <w:rFonts w:eastAsia="Calibri"/>
                <w:szCs w:val="24"/>
              </w:rPr>
              <w:t>варваризация</w:t>
            </w:r>
            <w:r>
              <w:rPr>
                <w:rFonts w:eastAsia="Calibri"/>
                <w:szCs w:val="24"/>
              </w:rPr>
              <w:t xml:space="preserve">, жаргонизм и их устранение. Коррекция речи, </w:t>
            </w:r>
            <w:r>
              <w:rPr>
                <w:rFonts w:eastAsia="Calibri"/>
                <w:szCs w:val="24"/>
              </w:rPr>
              <w:t>самокоррекция</w:t>
            </w:r>
            <w:r>
              <w:rPr>
                <w:rFonts w:eastAsia="Calibri"/>
                <w:szCs w:val="24"/>
              </w:rPr>
              <w:t xml:space="preserve">. </w:t>
            </w:r>
          </w:p>
          <w:p w14:paraId="0000018D">
            <w:pPr>
              <w:ind w:firstLine="709"/>
              <w:jc w:val="both"/>
              <w:rPr>
                <w:rFonts w:eastAsia="Calibri"/>
                <w:b/>
                <w:szCs w:val="24"/>
              </w:rPr>
            </w:pPr>
            <w:r>
              <w:rPr>
                <w:rFonts w:eastAsia="Calibri"/>
                <w:szCs w:val="24"/>
              </w:rPr>
              <w:t xml:space="preserve">Требования к письменной речи </w:t>
            </w:r>
            <w:r>
              <w:rPr>
                <w:szCs w:val="24"/>
              </w:rPr>
              <w:t>юриста</w:t>
            </w:r>
            <w:r>
              <w:rPr>
                <w:rFonts w:eastAsia="Calibri"/>
                <w:szCs w:val="24"/>
              </w:rPr>
              <w:t xml:space="preserve">: аккуратность, точность, лаконичность, грамотность, достоверность, информативность, уважительное отношение к адресату. Условия грамотной речи. Особенности составления служебных документов (протоколов, служебных записок, рапортов, повесток, объяснительных </w:t>
            </w:r>
            <w:r>
              <w:rPr>
                <w:rFonts w:eastAsia="Calibri"/>
                <w:szCs w:val="24"/>
              </w:rPr>
              <w:t>записок,  объяснительных</w:t>
            </w:r>
            <w:r>
              <w:rPr>
                <w:rFonts w:eastAsia="Calibri"/>
                <w:szCs w:val="24"/>
              </w:rPr>
              <w:t xml:space="preserve"> записок, приказов, отчетов, уголовных дел и т.д.  Внеслужебная письменная речь: </w:t>
            </w:r>
            <w:r>
              <w:rPr>
                <w:rFonts w:eastAsia="Calibri"/>
                <w:szCs w:val="24"/>
              </w:rPr>
              <w:t>поздравительные  адреса</w:t>
            </w:r>
            <w:r>
              <w:rPr>
                <w:rFonts w:eastAsia="Calibri"/>
                <w:szCs w:val="24"/>
              </w:rPr>
              <w:t xml:space="preserve"> и открытки, письма, обращения, заметки и статьи в прессе и т.д.</w:t>
            </w:r>
          </w:p>
        </w:tc>
        <w:tc>
          <w:tcPr>
            <w:cnfStyle w:val="000000010000"/>
            <w:tcW w:w="1559" w:type="dxa"/>
            <w:vMerge w:val="continue"/>
            <w:tcBorders>
              <w:top w:val="single" w:color="000000" w:sz="4" w:space="0"/>
              <w:left w:val="single" w:color="000000" w:sz="4" w:space="0"/>
              <w:bottom w:val="single" w:color="000000" w:sz="4" w:space="0"/>
              <w:right w:val="single" w:color="000000" w:sz="4" w:space="0"/>
            </w:tcBorders>
            <w:vAlign w:val="center"/>
          </w:tcPr>
          <w:p w14:paraId="0000018E">
            <w:pPr>
              <w:rPr>
                <w:rFonts w:eastAsia="Calibri"/>
                <w:b/>
                <w:szCs w:val="24"/>
              </w:rPr>
            </w:pP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8F">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90">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91">
            <w:pPr>
              <w:jc w:val="both"/>
              <w:rPr>
                <w:rFonts w:eastAsia="Calibri"/>
                <w:b/>
                <w:szCs w:val="24"/>
              </w:rPr>
            </w:pP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92">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93">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94">
            <w:pPr>
              <w:jc w:val="center"/>
              <w:rPr>
                <w:rFonts w:eastAsia="Calibri"/>
                <w:b/>
                <w:szCs w:val="24"/>
              </w:rPr>
            </w:pPr>
            <w:r>
              <w:rPr>
                <w:rFonts w:eastAsia="Calibri"/>
                <w:b/>
                <w:szCs w:val="24"/>
              </w:rPr>
              <w:t>2</w:t>
            </w: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95">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96">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97">
            <w:pPr>
              <w:jc w:val="center"/>
              <w:rPr>
                <w:rFonts w:eastAsia="Calibri"/>
                <w:b/>
                <w:szCs w:val="24"/>
              </w:rPr>
            </w:pP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98">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99">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9A">
            <w:pPr>
              <w:jc w:val="center"/>
              <w:rPr>
                <w:rFonts w:eastAsia="Calibri"/>
                <w:b/>
                <w:szCs w:val="24"/>
              </w:rPr>
            </w:pPr>
            <w:r>
              <w:rPr>
                <w:rFonts w:eastAsia="Calibri"/>
                <w:b/>
                <w:szCs w:val="24"/>
              </w:rPr>
              <w:t>-</w:t>
            </w:r>
          </w:p>
        </w:tc>
      </w:tr>
      <w:tr>
        <w:trPr/>
        <w:tc>
          <w:tcPr>
            <w:cnfStyle w:val="001000100000"/>
            <w:tcW w:w="2794" w:type="dxa"/>
            <w:vMerge w:val="restart"/>
            <w:tcBorders>
              <w:top w:val="single" w:color="000000" w:sz="4" w:space="0"/>
              <w:left w:val="single" w:color="000000" w:sz="4" w:space="0"/>
              <w:bottom w:val="single" w:color="000000" w:sz="4" w:space="0"/>
              <w:right w:val="single" w:color="000000" w:sz="4" w:space="0"/>
            </w:tcBorders>
          </w:tcPr>
          <w:p w14:paraId="0000019B">
            <w:pPr>
              <w:jc w:val="center"/>
              <w:rPr>
                <w:rFonts w:eastAsia="Calibri"/>
                <w:b/>
                <w:szCs w:val="24"/>
              </w:rPr>
            </w:pPr>
            <w:r>
              <w:rPr>
                <w:rFonts w:eastAsia="Calibri"/>
                <w:b/>
                <w:szCs w:val="24"/>
              </w:rPr>
              <w:t>Тема 2.1.</w:t>
            </w:r>
          </w:p>
          <w:p w14:paraId="0000019C">
            <w:pPr>
              <w:jc w:val="center"/>
              <w:rPr>
                <w:rFonts w:eastAsia="Calibri"/>
                <w:b/>
                <w:szCs w:val="24"/>
              </w:rPr>
            </w:pPr>
            <w:r>
              <w:rPr>
                <w:b/>
                <w:bCs/>
                <w:szCs w:val="24"/>
              </w:rPr>
              <w:t>Предмет, задачи и система юридической психологии</w:t>
            </w: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9D">
            <w:pPr>
              <w:pStyle w:val="NoSpacing"/>
              <w:jc w:val="both"/>
              <w:rPr>
                <w:rFonts w:ascii="Times New Roman" w:eastAsia="Calibri" w:hAnsi="Times New Roman"/>
                <w:sz w:val="24"/>
                <w:szCs w:val="24"/>
                <w:lang w:eastAsia="en-US"/>
              </w:rPr>
            </w:pPr>
            <w:r>
              <w:rPr>
                <w:rFonts w:ascii="Times New Roman" w:eastAsia="Calibri" w:hAnsi="Times New Roman"/>
                <w:b/>
                <w:sz w:val="24"/>
                <w:szCs w:val="24"/>
              </w:rPr>
              <w:t>Содержание учебного материала:</w:t>
            </w:r>
          </w:p>
        </w:tc>
        <w:tc>
          <w:tcPr>
            <w:cnfStyle w:val="000000100000"/>
            <w:tcW w:w="1559" w:type="dxa"/>
            <w:vMerge w:val="restart"/>
            <w:tcBorders>
              <w:top w:val="single" w:color="000000" w:sz="4" w:space="0"/>
              <w:left w:val="single" w:color="000000" w:sz="4" w:space="0"/>
              <w:bottom w:val="single" w:color="000000" w:sz="4" w:space="0"/>
              <w:right w:val="single" w:color="000000" w:sz="4" w:space="0"/>
            </w:tcBorders>
          </w:tcPr>
          <w:p w14:paraId="0000019E">
            <w:pPr>
              <w:jc w:val="center"/>
              <w:rPr>
                <w:rFonts w:eastAsia="Calibri"/>
                <w:b/>
                <w:szCs w:val="24"/>
              </w:rPr>
            </w:pPr>
            <w:r>
              <w:rPr>
                <w:rFonts w:eastAsia="Calibri"/>
                <w:b/>
                <w:szCs w:val="24"/>
              </w:rPr>
              <w:t>2</w:t>
            </w:r>
            <w:r>
              <w:rPr>
                <w:rFonts w:eastAsia="Calibri"/>
                <w:b/>
                <w:szCs w:val="24"/>
              </w:rPr>
              <w:t>/2</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9F">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A0">
            <w:pPr>
              <w:shd w:val="clear" w:color="auto" w:fill="ffffff"/>
              <w:ind w:left="24" w:right="5" w:firstLine="720"/>
              <w:jc w:val="both"/>
              <w:rPr>
                <w:szCs w:val="24"/>
              </w:rPr>
            </w:pPr>
            <w:r>
              <w:rPr>
                <w:szCs w:val="24"/>
              </w:rPr>
              <w:t xml:space="preserve">Предмет юридической психологии, ее место в психологической науке. </w:t>
            </w:r>
            <w:r>
              <w:rPr>
                <w:spacing w:val="-2"/>
                <w:szCs w:val="24"/>
              </w:rPr>
              <w:t>Этапы формирования юридической психологии как прикладной отрасли психо</w:t>
            </w:r>
            <w:r>
              <w:rPr>
                <w:spacing w:val="-2"/>
                <w:szCs w:val="24"/>
              </w:rPr>
              <w:softHyphen/>
            </w:r>
            <w:r>
              <w:rPr>
                <w:szCs w:val="24"/>
              </w:rPr>
              <w:t>логической науки. Основные пути и направления в её развитии.</w:t>
            </w:r>
          </w:p>
          <w:p w14:paraId="000001A1">
            <w:pPr>
              <w:shd w:val="clear" w:color="auto" w:fill="ffffff"/>
              <w:ind w:left="19" w:firstLine="725"/>
              <w:jc w:val="both"/>
              <w:rPr>
                <w:szCs w:val="24"/>
              </w:rPr>
            </w:pPr>
            <w:r>
              <w:rPr>
                <w:spacing w:val="-1"/>
                <w:szCs w:val="24"/>
              </w:rPr>
              <w:t>Содержание, система юридической психологии как научной отрасли пси</w:t>
            </w:r>
            <w:r>
              <w:rPr>
                <w:spacing w:val="-1"/>
                <w:szCs w:val="24"/>
              </w:rPr>
              <w:softHyphen/>
            </w:r>
            <w:r>
              <w:rPr>
                <w:spacing w:val="-1"/>
                <w:szCs w:val="24"/>
              </w:rPr>
              <w:t>хологических знаний и как учебной дисциплины. Задачи, решаемые юридиче</w:t>
            </w:r>
            <w:r>
              <w:rPr>
                <w:spacing w:val="-1"/>
                <w:szCs w:val="24"/>
              </w:rPr>
              <w:softHyphen/>
            </w:r>
            <w:r>
              <w:rPr>
                <w:spacing w:val="-1"/>
                <w:szCs w:val="24"/>
              </w:rPr>
              <w:t>ской психологией; её роль в формировании личного юриста, в повышении эф-</w:t>
            </w:r>
            <w:r>
              <w:rPr>
                <w:spacing w:val="-1"/>
                <w:szCs w:val="24"/>
              </w:rPr>
              <w:t>фективностг</w:t>
            </w:r>
            <w:r>
              <w:rPr>
                <w:spacing w:val="-1"/>
                <w:szCs w:val="24"/>
              </w:rPr>
              <w:t xml:space="preserve"> и качества труда работников правоохранительных органов, юри</w:t>
            </w:r>
            <w:r>
              <w:rPr>
                <w:spacing w:val="-1"/>
                <w:szCs w:val="24"/>
              </w:rPr>
              <w:softHyphen/>
            </w:r>
            <w:r>
              <w:rPr>
                <w:szCs w:val="24"/>
              </w:rPr>
              <w:t>дических служб предприятий, учреждений, адвокатуры.</w:t>
            </w:r>
          </w:p>
          <w:p w14:paraId="000001A2">
            <w:pPr>
              <w:shd w:val="clear" w:color="auto" w:fill="ffffff"/>
              <w:ind w:left="19" w:right="5" w:firstLine="720"/>
              <w:jc w:val="both"/>
              <w:rPr>
                <w:rFonts w:eastAsia="Calibri"/>
                <w:szCs w:val="24"/>
                <w:lang w:eastAsia="en-US"/>
              </w:rPr>
            </w:pPr>
            <w:r>
              <w:rPr>
                <w:spacing w:val="-2"/>
                <w:szCs w:val="24"/>
              </w:rPr>
              <w:t xml:space="preserve">Юридическая психология в системе различных научных отраслей знания. </w:t>
            </w:r>
            <w:r>
              <w:rPr>
                <w:spacing w:val="-1"/>
                <w:szCs w:val="24"/>
              </w:rPr>
              <w:t>Её методологические, естественнонаучные и правовые основы. Междисципли</w:t>
            </w:r>
            <w:r>
              <w:rPr>
                <w:spacing w:val="-1"/>
                <w:szCs w:val="24"/>
              </w:rPr>
              <w:softHyphen/>
            </w:r>
            <w:r>
              <w:rPr>
                <w:spacing w:val="-1"/>
                <w:szCs w:val="24"/>
              </w:rPr>
              <w:t xml:space="preserve">нарные связи юридической психологии с общей, </w:t>
            </w:r>
            <w:r>
              <w:rPr>
                <w:spacing w:val="-1"/>
                <w:szCs w:val="24"/>
              </w:rPr>
              <w:t>социальной, возрастной, педа</w:t>
            </w:r>
            <w:r>
              <w:rPr>
                <w:spacing w:val="-1"/>
                <w:szCs w:val="24"/>
              </w:rPr>
              <w:softHyphen/>
            </w:r>
            <w:r>
              <w:rPr>
                <w:szCs w:val="24"/>
              </w:rPr>
              <w:t>гогической, медицинской, инженерной психологией, с психологией управле</w:t>
            </w:r>
            <w:r>
              <w:rPr>
                <w:szCs w:val="24"/>
              </w:rPr>
              <w:softHyphen/>
            </w:r>
            <w:r>
              <w:rPr>
                <w:spacing w:val="-2"/>
                <w:szCs w:val="24"/>
              </w:rPr>
              <w:t>ния, труда, а также с уголовным и гражданским правом и процессом, кримина</w:t>
            </w:r>
            <w:r>
              <w:rPr>
                <w:spacing w:val="-2"/>
                <w:szCs w:val="24"/>
              </w:rPr>
              <w:softHyphen/>
            </w:r>
            <w:r>
              <w:rPr>
                <w:spacing w:val="-1"/>
                <w:szCs w:val="24"/>
              </w:rPr>
              <w:t>листикой и криминологией. Связь юридической психологии с судебной психи</w:t>
            </w:r>
            <w:r>
              <w:rPr>
                <w:spacing w:val="-1"/>
                <w:szCs w:val="24"/>
              </w:rPr>
              <w:softHyphen/>
            </w:r>
            <w:r>
              <w:rPr>
                <w:szCs w:val="24"/>
              </w:rPr>
              <w:t>атрией.</w:t>
            </w:r>
          </w:p>
        </w:tc>
        <w:tc>
          <w:tcPr>
            <w:cnfStyle w:val="000000010000"/>
            <w:tcW w:w="1559" w:type="dxa"/>
            <w:vMerge w:val="continue"/>
            <w:tcBorders>
              <w:top w:val="single" w:color="000000" w:sz="4" w:space="0"/>
              <w:left w:val="single" w:color="000000" w:sz="4" w:space="0"/>
              <w:bottom w:val="single" w:color="000000" w:sz="4" w:space="0"/>
              <w:right w:val="single" w:color="000000" w:sz="4" w:space="0"/>
            </w:tcBorders>
            <w:vAlign w:val="center"/>
          </w:tcPr>
          <w:p w14:paraId="000001A3">
            <w:pPr>
              <w:rPr>
                <w:rFonts w:eastAsia="Calibri"/>
                <w:b/>
                <w:szCs w:val="24"/>
              </w:rPr>
            </w:pP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A4">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A5">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A6">
            <w:pPr>
              <w:jc w:val="both"/>
              <w:rPr>
                <w:rFonts w:eastAsia="Calibri"/>
                <w:b/>
                <w:szCs w:val="24"/>
              </w:rPr>
            </w:pP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A7">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A8">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A9">
            <w:pPr>
              <w:jc w:val="center"/>
              <w:rPr>
                <w:rFonts w:eastAsia="Calibri"/>
                <w:b/>
                <w:szCs w:val="24"/>
              </w:rPr>
            </w:pPr>
            <w:r>
              <w:rPr>
                <w:rFonts w:eastAsia="Calibri"/>
                <w:b/>
                <w:szCs w:val="24"/>
              </w:rPr>
              <w:t>2</w:t>
            </w: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AA">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AB">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AC">
            <w:pPr>
              <w:jc w:val="center"/>
              <w:rPr>
                <w:rFonts w:eastAsia="Calibri"/>
                <w:b/>
                <w:szCs w:val="24"/>
              </w:rPr>
            </w:pP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AD">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AE">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AF">
            <w:pPr>
              <w:jc w:val="center"/>
              <w:rPr>
                <w:rFonts w:eastAsia="Calibri"/>
                <w:b/>
                <w:szCs w:val="24"/>
              </w:rPr>
            </w:pPr>
            <w:r>
              <w:rPr>
                <w:rFonts w:eastAsia="Calibri"/>
                <w:b/>
                <w:szCs w:val="24"/>
              </w:rPr>
              <w:t>-</w:t>
            </w:r>
          </w:p>
        </w:tc>
      </w:tr>
      <w:tr>
        <w:trPr/>
        <w:tc>
          <w:tcPr>
            <w:cnfStyle w:val="001000100000"/>
            <w:tcW w:w="2794" w:type="dxa"/>
            <w:vMerge w:val="restart"/>
            <w:tcBorders>
              <w:top w:val="single" w:color="000000" w:sz="4" w:space="0"/>
              <w:left w:val="single" w:color="000000" w:sz="4" w:space="0"/>
              <w:bottom w:val="single" w:color="000000" w:sz="4" w:space="0"/>
              <w:right w:val="single" w:color="000000" w:sz="4" w:space="0"/>
            </w:tcBorders>
          </w:tcPr>
          <w:p w14:paraId="000001B0">
            <w:pPr>
              <w:jc w:val="center"/>
              <w:rPr>
                <w:rFonts w:eastAsia="Calibri"/>
                <w:b/>
                <w:szCs w:val="24"/>
              </w:rPr>
            </w:pPr>
            <w:r>
              <w:rPr>
                <w:rFonts w:eastAsia="Calibri"/>
                <w:b/>
                <w:szCs w:val="24"/>
              </w:rPr>
              <w:t>Тема 2.2.</w:t>
            </w:r>
          </w:p>
          <w:p w14:paraId="000001B1">
            <w:pPr>
              <w:jc w:val="center"/>
              <w:rPr>
                <w:rFonts w:eastAsia="Calibri"/>
                <w:b/>
                <w:szCs w:val="24"/>
              </w:rPr>
            </w:pPr>
            <w:r>
              <w:rPr>
                <w:b/>
                <w:bCs/>
                <w:spacing w:val="-2"/>
                <w:szCs w:val="24"/>
              </w:rPr>
              <w:t xml:space="preserve">Психология личности преступника и мотивации </w:t>
            </w:r>
            <w:r>
              <w:rPr>
                <w:b/>
                <w:bCs/>
                <w:szCs w:val="24"/>
              </w:rPr>
              <w:t>противоправного поведения</w:t>
            </w: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B2">
            <w:pPr>
              <w:pStyle w:val="NoSpacing"/>
              <w:jc w:val="both"/>
              <w:rPr>
                <w:rFonts w:ascii="Times New Roman" w:eastAsia="Calibri" w:hAnsi="Times New Roman"/>
                <w:sz w:val="24"/>
                <w:szCs w:val="24"/>
                <w:lang w:eastAsia="en-US"/>
              </w:rPr>
            </w:pPr>
            <w:r>
              <w:rPr>
                <w:rFonts w:ascii="Times New Roman" w:eastAsia="Calibri" w:hAnsi="Times New Roman"/>
                <w:b/>
                <w:sz w:val="24"/>
                <w:szCs w:val="24"/>
              </w:rPr>
              <w:t>Содержание учебного материала:</w:t>
            </w:r>
          </w:p>
        </w:tc>
        <w:tc>
          <w:tcPr>
            <w:cnfStyle w:val="000000100000"/>
            <w:tcW w:w="1559" w:type="dxa"/>
            <w:vMerge w:val="restart"/>
            <w:tcBorders>
              <w:top w:val="single" w:color="000000" w:sz="4" w:space="0"/>
              <w:left w:val="single" w:color="000000" w:sz="4" w:space="0"/>
              <w:bottom w:val="single" w:color="000000" w:sz="4" w:space="0"/>
              <w:right w:val="single" w:color="000000" w:sz="4" w:space="0"/>
            </w:tcBorders>
          </w:tcPr>
          <w:p w14:paraId="000001B3">
            <w:pPr>
              <w:jc w:val="center"/>
              <w:rPr>
                <w:rFonts w:eastAsia="Calibri"/>
                <w:b/>
                <w:szCs w:val="24"/>
              </w:rPr>
            </w:pPr>
            <w:r>
              <w:rPr>
                <w:rFonts w:eastAsia="Calibri"/>
                <w:b/>
                <w:szCs w:val="24"/>
              </w:rPr>
              <w:t>2</w:t>
            </w:r>
            <w:r>
              <w:rPr>
                <w:rFonts w:eastAsia="Calibri"/>
                <w:b/>
                <w:szCs w:val="24"/>
              </w:rPr>
              <w:t>/2</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B4">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B5">
            <w:pPr>
              <w:shd w:val="clear" w:color="auto" w:fill="ffffff"/>
              <w:ind w:left="19" w:right="5" w:firstLine="538"/>
              <w:jc w:val="both"/>
              <w:rPr>
                <w:szCs w:val="24"/>
              </w:rPr>
            </w:pPr>
            <w:r>
              <w:rPr>
                <w:szCs w:val="24"/>
              </w:rPr>
              <w:t>Понятие личности преступника в юридической психологии. Биогенетиче</w:t>
            </w:r>
            <w:r>
              <w:rPr>
                <w:szCs w:val="24"/>
              </w:rPr>
              <w:softHyphen/>
            </w:r>
            <w:r>
              <w:rPr>
                <w:szCs w:val="24"/>
              </w:rPr>
              <w:t>ские и социогенетические концепции личности преступника. Теория самооп</w:t>
            </w:r>
            <w:r>
              <w:rPr>
                <w:szCs w:val="24"/>
              </w:rPr>
              <w:softHyphen/>
            </w:r>
            <w:r>
              <w:rPr>
                <w:spacing w:val="-2"/>
                <w:szCs w:val="24"/>
              </w:rPr>
              <w:t xml:space="preserve">равдания преступления как формы психологической защиты. Основные группы </w:t>
            </w:r>
            <w:r>
              <w:rPr>
                <w:spacing w:val="-1"/>
                <w:szCs w:val="24"/>
              </w:rPr>
              <w:t xml:space="preserve">психологических факторов, определяющих законопослушное и отклоняющееся </w:t>
            </w:r>
            <w:r>
              <w:rPr>
                <w:szCs w:val="24"/>
              </w:rPr>
              <w:t>поведение: психологические особенности личности, социально-</w:t>
            </w:r>
            <w:r>
              <w:rPr>
                <w:spacing w:val="-1"/>
                <w:szCs w:val="24"/>
              </w:rPr>
              <w:t>психологические условия жизнедеятельности человека. Влияние психологиче</w:t>
            </w:r>
            <w:r>
              <w:rPr>
                <w:spacing w:val="-1"/>
                <w:szCs w:val="24"/>
              </w:rPr>
              <w:softHyphen/>
            </w:r>
            <w:r>
              <w:rPr>
                <w:szCs w:val="24"/>
              </w:rPr>
              <w:t>ских аномалий на противоправное поведение.</w:t>
            </w:r>
          </w:p>
          <w:p w14:paraId="000001B6">
            <w:pPr>
              <w:shd w:val="clear" w:color="auto" w:fill="ffffff"/>
              <w:ind w:left="19" w:right="5" w:firstLine="538"/>
              <w:jc w:val="both"/>
              <w:rPr>
                <w:szCs w:val="24"/>
              </w:rPr>
            </w:pPr>
            <w:r>
              <w:rPr>
                <w:spacing w:val="-3"/>
                <w:szCs w:val="24"/>
              </w:rPr>
              <w:t xml:space="preserve">Психологические типологии личности преступника, понятие и критерии </w:t>
            </w:r>
            <w:r>
              <w:rPr>
                <w:szCs w:val="24"/>
              </w:rPr>
              <w:t>анализа. Психологические особенности личности корыстного, насильственного и корыстно-насильственного преступника.</w:t>
            </w:r>
          </w:p>
          <w:p w14:paraId="000001B7">
            <w:pPr>
              <w:shd w:val="clear" w:color="auto" w:fill="ffffff"/>
              <w:ind w:left="14" w:right="10" w:firstLine="538"/>
              <w:jc w:val="both"/>
              <w:rPr>
                <w:szCs w:val="24"/>
              </w:rPr>
            </w:pPr>
            <w:r>
              <w:rPr>
                <w:szCs w:val="24"/>
              </w:rPr>
              <w:t>Основные психологические принципы анализа противоправного поведе</w:t>
            </w:r>
            <w:r>
              <w:rPr>
                <w:szCs w:val="24"/>
              </w:rPr>
              <w:softHyphen/>
            </w:r>
            <w:r>
              <w:rPr>
                <w:spacing w:val="-2"/>
                <w:szCs w:val="24"/>
              </w:rPr>
              <w:t>ния. Понятие и психологическая характеристика преступной деятельности. Мо</w:t>
            </w:r>
            <w:r>
              <w:rPr>
                <w:spacing w:val="-2"/>
                <w:szCs w:val="24"/>
              </w:rPr>
              <w:softHyphen/>
            </w:r>
            <w:r>
              <w:rPr>
                <w:spacing w:val="-1"/>
                <w:szCs w:val="24"/>
              </w:rPr>
              <w:t>тивация противоправного поведения. Уголовно-правовая квалификация и пси</w:t>
            </w:r>
            <w:r>
              <w:rPr>
                <w:spacing w:val="-1"/>
                <w:szCs w:val="24"/>
              </w:rPr>
              <w:softHyphen/>
            </w:r>
            <w:r>
              <w:rPr>
                <w:spacing w:val="-1"/>
                <w:szCs w:val="24"/>
              </w:rPr>
              <w:t>хологическое; содержание мотивов противоправного поведения. Насильствен</w:t>
            </w:r>
            <w:r>
              <w:rPr>
                <w:spacing w:val="-1"/>
                <w:szCs w:val="24"/>
              </w:rPr>
              <w:softHyphen/>
            </w:r>
            <w:r>
              <w:rPr>
                <w:spacing w:val="-1"/>
                <w:szCs w:val="24"/>
              </w:rPr>
              <w:t>ные противоправные действия. Психологическая характеристика криминально</w:t>
            </w:r>
            <w:r>
              <w:rPr>
                <w:spacing w:val="-1"/>
                <w:szCs w:val="24"/>
              </w:rPr>
              <w:softHyphen/>
            </w:r>
            <w:r>
              <w:rPr>
                <w:szCs w:val="24"/>
              </w:rPr>
              <w:t>го насилия.</w:t>
            </w:r>
          </w:p>
          <w:p w14:paraId="000001B8">
            <w:pPr>
              <w:shd w:val="clear" w:color="auto" w:fill="ffffff"/>
              <w:ind w:left="10" w:right="19" w:firstLine="542"/>
              <w:jc w:val="both"/>
              <w:rPr>
                <w:szCs w:val="24"/>
              </w:rPr>
            </w:pPr>
            <w:r>
              <w:rPr>
                <w:spacing w:val="-1"/>
                <w:szCs w:val="24"/>
              </w:rPr>
              <w:t>Ситуация первичной идентичности и ее воспроизводство в криминальной ситуации. Смысловые установки в регуляции криминального поведения.</w:t>
            </w:r>
          </w:p>
          <w:p w14:paraId="000001B9">
            <w:pPr>
              <w:shd w:val="clear" w:color="auto" w:fill="ffffff"/>
              <w:ind w:right="19" w:firstLine="547"/>
              <w:jc w:val="both"/>
              <w:rPr>
                <w:rFonts w:eastAsia="Calibri"/>
                <w:szCs w:val="24"/>
                <w:lang w:eastAsia="en-US"/>
              </w:rPr>
            </w:pPr>
            <w:r>
              <w:rPr>
                <w:spacing w:val="-1"/>
                <w:szCs w:val="24"/>
              </w:rPr>
              <w:t>Основы практической диагностики психологических особенностей лично</w:t>
            </w:r>
            <w:r>
              <w:rPr>
                <w:spacing w:val="-1"/>
                <w:szCs w:val="24"/>
              </w:rPr>
              <w:softHyphen/>
            </w:r>
            <w:r>
              <w:rPr>
                <w:spacing w:val="-1"/>
                <w:szCs w:val="24"/>
              </w:rPr>
              <w:t xml:space="preserve">сти </w:t>
            </w:r>
            <w:r>
              <w:rPr>
                <w:spacing w:val="-1"/>
                <w:szCs w:val="24"/>
              </w:rPr>
              <w:t>преступиника</w:t>
            </w:r>
            <w:r>
              <w:rPr>
                <w:spacing w:val="-1"/>
                <w:szCs w:val="24"/>
              </w:rPr>
              <w:t xml:space="preserve">. </w:t>
            </w:r>
          </w:p>
        </w:tc>
        <w:tc>
          <w:tcPr>
            <w:cnfStyle w:val="000000010000"/>
            <w:tcW w:w="1559" w:type="dxa"/>
            <w:vMerge w:val="continue"/>
            <w:tcBorders>
              <w:top w:val="single" w:color="000000" w:sz="4" w:space="0"/>
              <w:left w:val="single" w:color="000000" w:sz="4" w:space="0"/>
              <w:bottom w:val="single" w:color="000000" w:sz="4" w:space="0"/>
              <w:right w:val="single" w:color="000000" w:sz="4" w:space="0"/>
            </w:tcBorders>
            <w:vAlign w:val="center"/>
          </w:tcPr>
          <w:p w14:paraId="000001BA">
            <w:pPr>
              <w:rPr>
                <w:rFonts w:eastAsia="Calibri"/>
                <w:b/>
                <w:szCs w:val="24"/>
              </w:rPr>
            </w:pP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BB">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BC">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BD">
            <w:pPr>
              <w:jc w:val="both"/>
              <w:rPr>
                <w:rFonts w:eastAsia="Calibri"/>
                <w:b/>
                <w:szCs w:val="24"/>
              </w:rPr>
            </w:pP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BE">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BF">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C0">
            <w:pPr>
              <w:jc w:val="center"/>
              <w:rPr>
                <w:rFonts w:eastAsia="Calibri"/>
                <w:b/>
                <w:szCs w:val="24"/>
              </w:rPr>
            </w:pPr>
            <w:r>
              <w:rPr>
                <w:rFonts w:eastAsia="Calibri"/>
                <w:b/>
                <w:szCs w:val="24"/>
              </w:rPr>
              <w:t>2</w:t>
            </w: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C1">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C2">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C3">
            <w:pPr>
              <w:jc w:val="center"/>
              <w:rPr>
                <w:rFonts w:eastAsia="Calibri"/>
                <w:b/>
                <w:szCs w:val="24"/>
              </w:rPr>
            </w:pP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C4">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C5">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C6">
            <w:pPr>
              <w:jc w:val="center"/>
              <w:rPr>
                <w:rFonts w:eastAsia="Calibri"/>
                <w:b/>
                <w:szCs w:val="24"/>
              </w:rPr>
            </w:pPr>
            <w:r>
              <w:rPr>
                <w:rFonts w:eastAsia="Calibri"/>
                <w:b/>
                <w:szCs w:val="24"/>
              </w:rPr>
              <w:t>-</w:t>
            </w:r>
          </w:p>
        </w:tc>
      </w:tr>
      <w:tr>
        <w:trPr/>
        <w:tc>
          <w:tcPr>
            <w:cnfStyle w:val="001000100000"/>
            <w:tcW w:w="2794" w:type="dxa"/>
            <w:vMerge w:val="restart"/>
            <w:tcBorders>
              <w:top w:val="single" w:color="000000" w:sz="4" w:space="0"/>
              <w:left w:val="single" w:color="000000" w:sz="4" w:space="0"/>
              <w:bottom w:val="single" w:color="000000" w:sz="4" w:space="0"/>
              <w:right w:val="single" w:color="000000" w:sz="4" w:space="0"/>
            </w:tcBorders>
          </w:tcPr>
          <w:p w14:paraId="000001C7">
            <w:pPr>
              <w:jc w:val="center"/>
              <w:rPr>
                <w:rFonts w:eastAsia="Calibri"/>
                <w:b/>
                <w:szCs w:val="24"/>
              </w:rPr>
            </w:pPr>
            <w:r>
              <w:rPr>
                <w:rFonts w:eastAsia="Calibri"/>
                <w:b/>
                <w:szCs w:val="24"/>
              </w:rPr>
              <w:t>Тема 2.3.</w:t>
            </w:r>
          </w:p>
          <w:p w14:paraId="000001C8">
            <w:pPr>
              <w:jc w:val="center"/>
              <w:rPr>
                <w:rFonts w:eastAsia="Calibri"/>
                <w:b/>
                <w:szCs w:val="24"/>
              </w:rPr>
            </w:pPr>
            <w:r>
              <w:rPr>
                <w:b/>
                <w:bCs/>
                <w:spacing w:val="-1"/>
                <w:szCs w:val="24"/>
              </w:rPr>
              <w:t>Психология преступных групп</w:t>
            </w: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C9">
            <w:pPr>
              <w:pStyle w:val="NoSpacing"/>
              <w:jc w:val="both"/>
              <w:rPr>
                <w:rFonts w:ascii="Times New Roman" w:eastAsia="Calibri" w:hAnsi="Times New Roman"/>
                <w:sz w:val="24"/>
                <w:szCs w:val="24"/>
                <w:lang w:eastAsia="en-US"/>
              </w:rPr>
            </w:pPr>
            <w:r>
              <w:rPr>
                <w:rFonts w:ascii="Times New Roman" w:eastAsia="Calibri" w:hAnsi="Times New Roman"/>
                <w:b/>
                <w:sz w:val="24"/>
                <w:szCs w:val="24"/>
              </w:rPr>
              <w:t>Содержание учебного материала:</w:t>
            </w:r>
          </w:p>
        </w:tc>
        <w:tc>
          <w:tcPr>
            <w:cnfStyle w:val="000000100000"/>
            <w:tcW w:w="1559" w:type="dxa"/>
            <w:vMerge w:val="restart"/>
            <w:tcBorders>
              <w:top w:val="single" w:color="000000" w:sz="4" w:space="0"/>
              <w:left w:val="single" w:color="000000" w:sz="4" w:space="0"/>
              <w:bottom w:val="single" w:color="000000" w:sz="4" w:space="0"/>
              <w:right w:val="single" w:color="000000" w:sz="4" w:space="0"/>
            </w:tcBorders>
          </w:tcPr>
          <w:p w14:paraId="000001CA">
            <w:pPr>
              <w:jc w:val="center"/>
              <w:rPr>
                <w:rFonts w:eastAsia="Calibri"/>
                <w:b/>
                <w:szCs w:val="24"/>
              </w:rPr>
            </w:pPr>
            <w:r>
              <w:rPr>
                <w:rFonts w:eastAsia="Calibri"/>
                <w:b/>
                <w:szCs w:val="24"/>
              </w:rPr>
              <w:t>2</w:t>
            </w:r>
            <w:r>
              <w:rPr>
                <w:rFonts w:eastAsia="Calibri"/>
                <w:b/>
                <w:szCs w:val="24"/>
              </w:rPr>
              <w:t>/2</w:t>
            </w:r>
          </w:p>
        </w:tc>
      </w:tr>
      <w:tr>
        <w:trPr>
          <w:trHeight w:val="294"/>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CB">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CC">
            <w:pPr>
              <w:shd w:val="clear" w:color="auto" w:fill="ffffff"/>
              <w:ind w:left="24" w:right="10" w:firstLine="542"/>
              <w:jc w:val="both"/>
              <w:rPr>
                <w:szCs w:val="24"/>
              </w:rPr>
            </w:pPr>
            <w:r>
              <w:rPr>
                <w:spacing w:val="-2"/>
                <w:szCs w:val="24"/>
              </w:rPr>
              <w:t xml:space="preserve">Групповые факторы зарождения и развития антиобщественного поведения. </w:t>
            </w:r>
            <w:r>
              <w:rPr>
                <w:szCs w:val="24"/>
              </w:rPr>
              <w:t>Причины и условия формирования преступных групп.</w:t>
            </w:r>
          </w:p>
          <w:p w14:paraId="000001CD">
            <w:pPr>
              <w:shd w:val="clear" w:color="auto" w:fill="ffffff"/>
              <w:ind w:left="24" w:right="5" w:firstLine="538"/>
              <w:jc w:val="both"/>
              <w:rPr>
                <w:szCs w:val="24"/>
              </w:rPr>
            </w:pPr>
            <w:r>
              <w:rPr>
                <w:spacing w:val="-1"/>
                <w:szCs w:val="24"/>
              </w:rPr>
              <w:t>Понятие и социально-психологическая характеристика преступных групп: цели, социальные ценности, групповые нормы, мотивы, характер взаимоотно</w:t>
            </w:r>
            <w:r>
              <w:rPr>
                <w:spacing w:val="-1"/>
                <w:szCs w:val="24"/>
              </w:rPr>
              <w:softHyphen/>
            </w:r>
            <w:r>
              <w:rPr>
                <w:szCs w:val="24"/>
              </w:rPr>
              <w:t>шений, климат, лидерство, способы преступных действий и их маскировки.</w:t>
            </w:r>
          </w:p>
          <w:p w14:paraId="000001CE">
            <w:pPr>
              <w:shd w:val="clear" w:color="auto" w:fill="ffffff"/>
              <w:ind w:left="19" w:right="5" w:firstLine="538"/>
              <w:jc w:val="both"/>
              <w:rPr>
                <w:szCs w:val="24"/>
              </w:rPr>
            </w:pPr>
            <w:r>
              <w:rPr>
                <w:szCs w:val="24"/>
              </w:rPr>
              <w:t xml:space="preserve">Виды преступных групп. Психологическая характеристика преступных </w:t>
            </w:r>
            <w:r>
              <w:rPr>
                <w:spacing w:val="-1"/>
                <w:szCs w:val="24"/>
              </w:rPr>
              <w:t xml:space="preserve">групп, осуществляющих различные виды преступной деятельности. </w:t>
            </w:r>
            <w:r>
              <w:rPr>
                <w:spacing w:val="-1"/>
                <w:szCs w:val="24"/>
              </w:rPr>
              <w:t>Предкри-</w:t>
            </w:r>
            <w:r>
              <w:rPr>
                <w:spacing w:val="-2"/>
                <w:szCs w:val="24"/>
              </w:rPr>
              <w:t>минальная</w:t>
            </w:r>
            <w:r>
              <w:rPr>
                <w:spacing w:val="-2"/>
                <w:szCs w:val="24"/>
              </w:rPr>
              <w:t>, простая, организованная преступные группы, преступные организа</w:t>
            </w:r>
            <w:r>
              <w:rPr>
                <w:spacing w:val="-2"/>
                <w:szCs w:val="24"/>
              </w:rPr>
              <w:softHyphen/>
            </w:r>
            <w:r>
              <w:rPr>
                <w:szCs w:val="24"/>
              </w:rPr>
              <w:t>ции. Психологические особенности отрицательно направленных групп несо</w:t>
            </w:r>
            <w:r>
              <w:rPr>
                <w:szCs w:val="24"/>
              </w:rPr>
              <w:softHyphen/>
            </w:r>
            <w:r>
              <w:rPr>
                <w:spacing w:val="-1"/>
                <w:szCs w:val="24"/>
              </w:rPr>
              <w:t xml:space="preserve">вершеннолетних. Понятие и психологическая характеристика организованных </w:t>
            </w:r>
            <w:r>
              <w:rPr>
                <w:szCs w:val="24"/>
              </w:rPr>
              <w:t>преступных групп.</w:t>
            </w:r>
          </w:p>
          <w:p w14:paraId="000001CF">
            <w:pPr>
              <w:shd w:val="clear" w:color="auto" w:fill="ffffff"/>
              <w:ind w:left="10" w:right="10" w:firstLine="547"/>
              <w:jc w:val="both"/>
              <w:rPr>
                <w:szCs w:val="24"/>
              </w:rPr>
            </w:pPr>
            <w:r>
              <w:rPr>
                <w:spacing w:val="-1"/>
                <w:szCs w:val="24"/>
              </w:rPr>
              <w:t>Социально-психологические явления в преступных группах. Психологиче</w:t>
            </w:r>
            <w:r>
              <w:rPr>
                <w:spacing w:val="-1"/>
                <w:szCs w:val="24"/>
              </w:rPr>
              <w:softHyphen/>
            </w:r>
            <w:r>
              <w:rPr>
                <w:szCs w:val="24"/>
              </w:rPr>
              <w:t xml:space="preserve">ская характеристика неофициальных групповых норм поведения, </w:t>
            </w:r>
            <w:r>
              <w:rPr>
                <w:spacing w:val="-1"/>
                <w:szCs w:val="24"/>
              </w:rPr>
              <w:t>внутригруп</w:t>
            </w:r>
            <w:r>
              <w:rPr>
                <w:spacing w:val="-1"/>
                <w:szCs w:val="24"/>
              </w:rPr>
              <w:t xml:space="preserve"> </w:t>
            </w:r>
            <w:r>
              <w:rPr>
                <w:spacing w:val="-1"/>
                <w:szCs w:val="24"/>
              </w:rPr>
              <w:t>повых</w:t>
            </w:r>
            <w:r>
              <w:rPr>
                <w:spacing w:val="-1"/>
                <w:szCs w:val="24"/>
              </w:rPr>
              <w:t xml:space="preserve"> и межгрупповых взаимосвязей в преступной деятельности. Психологические условия и закономерности развития преступных групп и пре</w:t>
            </w:r>
            <w:r>
              <w:rPr>
                <w:spacing w:val="-1"/>
                <w:szCs w:val="24"/>
              </w:rPr>
              <w:softHyphen/>
            </w:r>
            <w:r>
              <w:rPr>
                <w:szCs w:val="24"/>
              </w:rPr>
              <w:t>ступных сообществ.</w:t>
            </w:r>
          </w:p>
          <w:p w14:paraId="000001D0">
            <w:pPr>
              <w:shd w:val="clear" w:color="auto" w:fill="ffffff"/>
              <w:ind w:right="5" w:firstLine="528"/>
              <w:jc w:val="both"/>
              <w:rPr>
                <w:szCs w:val="24"/>
              </w:rPr>
            </w:pPr>
            <w:r>
              <w:rPr>
                <w:spacing w:val="-1"/>
                <w:szCs w:val="24"/>
              </w:rPr>
              <w:t xml:space="preserve">Личность в группе (статус, роли, позиции), специфика межличностных взаимоотношений в преступной группе. Социально-психологические качества личности преступника, как члена группы. Преступная группа как институт криминальной субкультуры. Психологический анализ атрибутов криминальной </w:t>
            </w:r>
            <w:r>
              <w:rPr>
                <w:szCs w:val="24"/>
              </w:rPr>
              <w:t>субкультуры и их влияние на членов группы.</w:t>
            </w:r>
          </w:p>
          <w:p w14:paraId="000001D1">
            <w:pPr>
              <w:shd w:val="clear" w:color="auto" w:fill="ffffff"/>
              <w:ind w:left="5" w:right="24" w:firstLine="533"/>
              <w:jc w:val="both"/>
              <w:rPr>
                <w:szCs w:val="24"/>
              </w:rPr>
            </w:pPr>
            <w:r>
              <w:rPr>
                <w:szCs w:val="24"/>
              </w:rPr>
              <w:t>Психологические основы изучения, разоблачения и разобщения преступ</w:t>
            </w:r>
            <w:r>
              <w:rPr>
                <w:szCs w:val="24"/>
              </w:rPr>
              <w:softHyphen/>
            </w:r>
            <w:r>
              <w:rPr>
                <w:szCs w:val="24"/>
              </w:rPr>
              <w:t>ных групп. Социально-психологические приемы воздействия на преступные</w:t>
            </w:r>
            <w:r>
              <w:rPr>
                <w:szCs w:val="24"/>
              </w:rPr>
              <w:t xml:space="preserve"> </w:t>
            </w:r>
            <w:r>
              <w:rPr>
                <w:szCs w:val="24"/>
              </w:rPr>
              <w:t>группы   в   целях   их   разобщения   и   разоблачения.   Методика   социально-психологического анализа преступной группы.</w:t>
            </w:r>
          </w:p>
          <w:p w14:paraId="000001D2">
            <w:pPr>
              <w:pStyle w:val="NoSpacing"/>
              <w:jc w:val="both"/>
              <w:rPr>
                <w:rFonts w:ascii="Times New Roman" w:eastAsia="Calibri" w:hAnsi="Times New Roman"/>
                <w:sz w:val="24"/>
                <w:szCs w:val="24"/>
                <w:lang w:eastAsia="en-US"/>
              </w:rPr>
            </w:pPr>
          </w:p>
        </w:tc>
        <w:tc>
          <w:tcPr>
            <w:cnfStyle w:val="000000010000"/>
            <w:tcW w:w="1559" w:type="dxa"/>
            <w:vMerge w:val="continue"/>
            <w:tcBorders>
              <w:top w:val="single" w:color="000000" w:sz="4" w:space="0"/>
              <w:left w:val="single" w:color="000000" w:sz="4" w:space="0"/>
              <w:bottom w:val="single" w:color="000000" w:sz="4" w:space="0"/>
              <w:right w:val="single" w:color="000000" w:sz="4" w:space="0"/>
            </w:tcBorders>
            <w:vAlign w:val="center"/>
          </w:tcPr>
          <w:p w14:paraId="000001D3">
            <w:pPr>
              <w:rPr>
                <w:rFonts w:eastAsia="Calibri"/>
                <w:b/>
                <w:szCs w:val="24"/>
              </w:rPr>
            </w:pP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D4">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D5">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D6">
            <w:pPr>
              <w:jc w:val="both"/>
              <w:rPr>
                <w:rFonts w:eastAsia="Calibri"/>
                <w:b/>
                <w:szCs w:val="24"/>
              </w:rPr>
            </w:pP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D7">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D8">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D9">
            <w:pPr>
              <w:jc w:val="center"/>
              <w:rPr>
                <w:rFonts w:eastAsia="Calibri"/>
                <w:b/>
                <w:szCs w:val="24"/>
              </w:rPr>
            </w:pPr>
            <w:r>
              <w:rPr>
                <w:rFonts w:eastAsia="Calibri"/>
                <w:b/>
                <w:szCs w:val="24"/>
              </w:rPr>
              <w:t>2</w:t>
            </w: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DA">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DB">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DC">
            <w:pPr>
              <w:jc w:val="center"/>
              <w:rPr>
                <w:rFonts w:eastAsia="Calibri"/>
                <w:b/>
                <w:szCs w:val="24"/>
              </w:rPr>
            </w:pPr>
            <w:r>
              <w:rPr>
                <w:rFonts w:eastAsia="Calibri"/>
                <w:b/>
                <w:szCs w:val="24"/>
              </w:rPr>
              <w:t>-</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DD">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DE">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DF">
            <w:pPr>
              <w:jc w:val="center"/>
              <w:rPr>
                <w:rFonts w:eastAsia="Calibri"/>
                <w:b/>
                <w:szCs w:val="24"/>
              </w:rPr>
            </w:pPr>
            <w:r>
              <w:rPr>
                <w:rFonts w:eastAsia="Calibri"/>
                <w:b/>
                <w:szCs w:val="24"/>
              </w:rPr>
              <w:t>-</w:t>
            </w:r>
          </w:p>
        </w:tc>
      </w:tr>
      <w:tr>
        <w:trPr/>
        <w:tc>
          <w:tcPr>
            <w:cnfStyle w:val="001000100000"/>
            <w:tcW w:w="2794" w:type="dxa"/>
            <w:vMerge w:val="restart"/>
            <w:tcBorders>
              <w:top w:val="single" w:color="000000" w:sz="4" w:space="0"/>
              <w:left w:val="single" w:color="000000" w:sz="4" w:space="0"/>
              <w:bottom w:val="single" w:color="000000" w:sz="4" w:space="0"/>
              <w:right w:val="single" w:color="000000" w:sz="4" w:space="0"/>
            </w:tcBorders>
          </w:tcPr>
          <w:p w14:paraId="000001E0">
            <w:pPr>
              <w:jc w:val="center"/>
              <w:rPr>
                <w:rFonts w:eastAsia="Calibri"/>
                <w:b/>
                <w:szCs w:val="24"/>
              </w:rPr>
            </w:pPr>
            <w:r>
              <w:rPr>
                <w:rFonts w:eastAsia="Calibri"/>
                <w:b/>
                <w:szCs w:val="24"/>
              </w:rPr>
              <w:t>Тема 2.4.</w:t>
            </w:r>
          </w:p>
          <w:p w14:paraId="000001E1">
            <w:pPr>
              <w:pStyle w:val="BodyText2"/>
              <w:spacing w:after="0" w:line="240" w:lineRule="auto"/>
              <w:ind w:firstLine="708"/>
              <w:jc w:val="center"/>
              <w:rPr>
                <w:rFonts w:ascii="Times New Roman" w:hAnsi="Times New Roman"/>
                <w:b/>
                <w:bCs/>
                <w:sz w:val="24"/>
                <w:szCs w:val="24"/>
              </w:rPr>
            </w:pPr>
            <w:r>
              <w:rPr>
                <w:rFonts w:ascii="Times New Roman" w:hAnsi="Times New Roman"/>
                <w:b/>
                <w:bCs/>
                <w:sz w:val="24"/>
                <w:szCs w:val="24"/>
              </w:rPr>
              <w:t>Психологические особенности предварительного расследования</w:t>
            </w:r>
          </w:p>
          <w:p w14:paraId="000001E2">
            <w:pPr>
              <w:jc w:val="cente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E3">
            <w:pPr>
              <w:pStyle w:val="NoSpacing"/>
              <w:jc w:val="both"/>
              <w:rPr>
                <w:rFonts w:ascii="Times New Roman" w:eastAsia="Calibri" w:hAnsi="Times New Roman"/>
                <w:sz w:val="24"/>
                <w:szCs w:val="24"/>
                <w:lang w:eastAsia="en-US"/>
              </w:rPr>
            </w:pPr>
            <w:r>
              <w:rPr>
                <w:rFonts w:ascii="Times New Roman" w:eastAsia="Calibri" w:hAnsi="Times New Roman"/>
                <w:b/>
                <w:sz w:val="24"/>
                <w:szCs w:val="24"/>
              </w:rPr>
              <w:t>Содержание учебного материала:</w:t>
            </w:r>
          </w:p>
        </w:tc>
        <w:tc>
          <w:tcPr>
            <w:cnfStyle w:val="000000100000"/>
            <w:tcW w:w="1559" w:type="dxa"/>
            <w:vMerge w:val="restart"/>
            <w:tcBorders>
              <w:top w:val="single" w:color="000000" w:sz="4" w:space="0"/>
              <w:left w:val="single" w:color="000000" w:sz="4" w:space="0"/>
              <w:bottom w:val="single" w:color="000000" w:sz="4" w:space="0"/>
              <w:right w:val="single" w:color="000000" w:sz="4" w:space="0"/>
            </w:tcBorders>
          </w:tcPr>
          <w:p w14:paraId="000001E4">
            <w:pPr>
              <w:jc w:val="center"/>
              <w:rPr>
                <w:rFonts w:eastAsia="Calibri"/>
                <w:b/>
                <w:szCs w:val="24"/>
              </w:rPr>
            </w:pPr>
            <w:r>
              <w:rPr>
                <w:rFonts w:eastAsia="Calibri"/>
                <w:b/>
                <w:szCs w:val="24"/>
              </w:rPr>
              <w:t>2</w:t>
            </w:r>
            <w:r>
              <w:rPr>
                <w:rFonts w:eastAsia="Calibri"/>
                <w:b/>
                <w:szCs w:val="24"/>
              </w:rPr>
              <w:t>/2</w:t>
            </w: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E5">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E6">
            <w:pPr>
              <w:rPr>
                <w:rFonts w:eastAsia="Calibri"/>
                <w:szCs w:val="24"/>
                <w:lang w:eastAsia="en-US"/>
              </w:rPr>
            </w:pPr>
            <w:r>
              <w:rPr>
                <w:szCs w:val="24"/>
              </w:rPr>
              <w:t xml:space="preserve">Психологическая характеристика предварительного следствия. Психологические особенности основных следственных действий. Психологические особенности осмотра места происшествия. Психологические особенности допроса. Психологические особенности допроса свидетелей и потерпевших. Причины добросовестного заблуждения потерпевших и свидетелей в отношении обстоятельств, имеющих значение для расследования уголовного дела. Психологические особенности допроса подозреваемого и обвиняемого. Наиболее распространенные коммуникативные ситуации во время допроса. Психологические приемы и методы разоблачения ложных показаний. Психологические особенности проведения очной ставки. Психологические особенности обыска.  </w:t>
            </w:r>
            <w:r>
              <w:rPr>
                <w:szCs w:val="24"/>
              </w:rPr>
              <w:t>Психологические особенности поведения</w:t>
            </w:r>
            <w:r>
              <w:rPr>
                <w:szCs w:val="24"/>
              </w:rPr>
              <w:t xml:space="preserve"> обыскиваемого во время обыска. Психологические особенности предъявления для опознания. Психология следственного эксперимента. Психологические особенности проверки показаний на месте. </w:t>
            </w:r>
          </w:p>
        </w:tc>
        <w:tc>
          <w:tcPr>
            <w:cnfStyle w:val="000000010000"/>
            <w:tcW w:w="1559" w:type="dxa"/>
            <w:vMerge w:val="continue"/>
            <w:tcBorders>
              <w:top w:val="single" w:color="000000" w:sz="4" w:space="0"/>
              <w:left w:val="single" w:color="000000" w:sz="4" w:space="0"/>
              <w:bottom w:val="single" w:color="000000" w:sz="4" w:space="0"/>
              <w:right w:val="single" w:color="000000" w:sz="4" w:space="0"/>
            </w:tcBorders>
            <w:vAlign w:val="center"/>
          </w:tcPr>
          <w:p w14:paraId="000001E7">
            <w:pPr>
              <w:rPr>
                <w:rFonts w:eastAsia="Calibri"/>
                <w:b/>
                <w:szCs w:val="24"/>
              </w:rPr>
            </w:pP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E8">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E9">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EA">
            <w:pPr>
              <w:jc w:val="both"/>
              <w:rPr>
                <w:rFonts w:eastAsia="Calibri"/>
                <w:b/>
                <w:szCs w:val="24"/>
              </w:rPr>
            </w:pP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EB">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EC">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ED">
            <w:pPr>
              <w:jc w:val="center"/>
              <w:rPr>
                <w:rFonts w:eastAsia="Calibri"/>
                <w:b/>
                <w:szCs w:val="24"/>
              </w:rPr>
            </w:pPr>
            <w:r>
              <w:rPr>
                <w:rFonts w:eastAsia="Calibri"/>
                <w:b/>
                <w:szCs w:val="24"/>
              </w:rPr>
              <w:t>2</w:t>
            </w:r>
          </w:p>
        </w:tc>
      </w:tr>
      <w:tr>
        <w:trPr/>
        <w:tc>
          <w:tcPr>
            <w:cnfStyle w:val="00100010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EE">
            <w:pPr>
              <w:rPr>
                <w:rFonts w:eastAsia="Calibri"/>
                <w:b/>
                <w:szCs w:val="24"/>
              </w:rPr>
            </w:pPr>
          </w:p>
        </w:tc>
        <w:tc>
          <w:tcPr>
            <w:cnfStyle w:val="000000100000"/>
            <w:tcW w:w="4861" w:type="dxa"/>
            <w:tcBorders>
              <w:top w:val="single" w:color="000000" w:sz="4" w:space="0"/>
              <w:left w:val="single" w:color="000000" w:sz="4" w:space="0"/>
              <w:bottom w:val="single" w:color="000000" w:sz="4" w:space="0"/>
              <w:right w:val="single" w:color="auto" w:sz="4" w:space="0"/>
            </w:tcBorders>
          </w:tcPr>
          <w:p w14:paraId="000001EF">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1F0">
            <w:pPr>
              <w:jc w:val="center"/>
              <w:rPr>
                <w:rFonts w:eastAsia="Calibri"/>
                <w:b/>
                <w:szCs w:val="24"/>
              </w:rPr>
            </w:pPr>
          </w:p>
        </w:tc>
      </w:tr>
      <w:tr>
        <w:trPr/>
        <w:tc>
          <w:tcPr>
            <w:cnfStyle w:val="001000010000"/>
            <w:tcW w:w="2794" w:type="dxa"/>
            <w:vMerge w:val="continue"/>
            <w:tcBorders>
              <w:top w:val="single" w:color="000000" w:sz="4" w:space="0"/>
              <w:left w:val="single" w:color="000000" w:sz="4" w:space="0"/>
              <w:bottom w:val="single" w:color="000000" w:sz="4" w:space="0"/>
              <w:right w:val="single" w:color="000000" w:sz="4" w:space="0"/>
            </w:tcBorders>
            <w:vAlign w:val="center"/>
          </w:tcPr>
          <w:p w14:paraId="000001F1">
            <w:pPr>
              <w:rPr>
                <w:rFonts w:eastAsia="Calibri"/>
                <w:b/>
                <w:szCs w:val="24"/>
              </w:rPr>
            </w:pPr>
          </w:p>
        </w:tc>
        <w:tc>
          <w:tcPr>
            <w:cnfStyle w:val="000000010000"/>
            <w:tcW w:w="4861" w:type="dxa"/>
            <w:tcBorders>
              <w:top w:val="single" w:color="000000" w:sz="4" w:space="0"/>
              <w:left w:val="single" w:color="000000" w:sz="4" w:space="0"/>
              <w:bottom w:val="single" w:color="000000" w:sz="4" w:space="0"/>
              <w:right w:val="single" w:color="auto" w:sz="4" w:space="0"/>
            </w:tcBorders>
          </w:tcPr>
          <w:p w14:paraId="000001F2">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010000"/>
            <w:tcW w:w="1559" w:type="dxa"/>
            <w:tcBorders>
              <w:top w:val="single" w:color="000000" w:sz="4" w:space="0"/>
              <w:left w:val="single" w:color="000000" w:sz="4" w:space="0"/>
              <w:bottom w:val="single" w:color="000000" w:sz="4" w:space="0"/>
              <w:right w:val="single" w:color="000000" w:sz="4" w:space="0"/>
            </w:tcBorders>
          </w:tcPr>
          <w:p w14:paraId="000001F3">
            <w:pPr>
              <w:jc w:val="center"/>
              <w:rPr>
                <w:rFonts w:eastAsia="Calibri"/>
                <w:b/>
                <w:szCs w:val="24"/>
              </w:rPr>
            </w:pPr>
            <w:r>
              <w:rPr>
                <w:rFonts w:eastAsia="Calibri"/>
                <w:b/>
                <w:szCs w:val="24"/>
              </w:rPr>
              <w:t>-</w:t>
            </w:r>
          </w:p>
        </w:tc>
      </w:tr>
      <w:tr>
        <w:trPr>
          <w:trHeight w:val="8969"/>
        </w:trPr>
        <w:tc>
          <w:tcPr>
            <w:cnfStyle w:val="001000100000"/>
            <w:tcW w:w="2794" w:type="dxa"/>
            <w:vMerge w:val="restart"/>
            <w:tcBorders>
              <w:top w:val="single" w:color="000000" w:sz="4" w:space="0"/>
              <w:left w:val="single" w:color="000000" w:sz="4" w:space="0"/>
              <w:right w:val="single" w:color="auto" w:sz="4" w:space="0"/>
            </w:tcBorders>
          </w:tcPr>
          <w:p w14:paraId="000001F4">
            <w:pPr>
              <w:jc w:val="center"/>
              <w:rPr>
                <w:rFonts w:eastAsia="Calibri"/>
                <w:b/>
                <w:szCs w:val="24"/>
              </w:rPr>
            </w:pPr>
            <w:r>
              <w:rPr>
                <w:rFonts w:eastAsia="Calibri"/>
                <w:b/>
                <w:szCs w:val="24"/>
              </w:rPr>
              <w:t>Тема 2.5.</w:t>
            </w:r>
          </w:p>
          <w:p w14:paraId="000001F5">
            <w:pPr>
              <w:ind w:firstLine="708"/>
              <w:rPr>
                <w:b/>
                <w:szCs w:val="24"/>
              </w:rPr>
            </w:pPr>
            <w:r>
              <w:rPr>
                <w:b/>
                <w:szCs w:val="24"/>
              </w:rPr>
              <w:t>Психологические закономерности общения. Специфика их</w:t>
            </w:r>
          </w:p>
          <w:p w14:paraId="000001F6">
            <w:pPr>
              <w:jc w:val="center"/>
              <w:rPr>
                <w:b/>
                <w:szCs w:val="24"/>
              </w:rPr>
            </w:pPr>
            <w:r>
              <w:rPr>
                <w:b/>
                <w:szCs w:val="24"/>
              </w:rPr>
              <w:t>проявления и особенности реализации в деятельности юриста</w:t>
            </w:r>
          </w:p>
          <w:p w14:paraId="000001F7">
            <w:pPr>
              <w:jc w:val="right"/>
              <w:rPr>
                <w:rFonts w:eastAsia="Calibri"/>
                <w:b/>
                <w:szCs w:val="24"/>
              </w:rPr>
            </w:pPr>
          </w:p>
        </w:tc>
        <w:tc>
          <w:tcPr>
            <w:cnfStyle w:val="000000100000"/>
            <w:tcW w:w="4861" w:type="dxa"/>
            <w:tcBorders>
              <w:top w:val="single" w:color="000000" w:sz="4" w:space="0"/>
              <w:left w:val="single" w:color="auto" w:sz="4" w:space="0"/>
              <w:right w:val="single" w:color="000000" w:sz="4" w:space="0"/>
            </w:tcBorders>
          </w:tcPr>
          <w:p w14:paraId="000001F8">
            <w:pPr>
              <w:jc w:val="right"/>
              <w:rPr>
                <w:rFonts w:eastAsia="Calibri"/>
                <w:b/>
                <w:szCs w:val="24"/>
              </w:rPr>
            </w:pPr>
            <w:r>
              <w:rPr>
                <w:rFonts w:eastAsia="Calibri"/>
                <w:b/>
                <w:szCs w:val="24"/>
              </w:rPr>
              <w:t>Содержание учебного материала:</w:t>
            </w:r>
          </w:p>
          <w:p w14:paraId="000001F9">
            <w:pPr>
              <w:ind w:firstLine="708"/>
              <w:rPr>
                <w:szCs w:val="24"/>
              </w:rPr>
            </w:pPr>
            <w:r>
              <w:rPr>
                <w:szCs w:val="24"/>
              </w:rPr>
              <w:t xml:space="preserve">Психологические механизмы влияния этических норм взаимодействия на эффективность общения юриста с гражданами. Сущность и функции общения. Роль общения в профессиональной деятельности юриста. </w:t>
            </w:r>
          </w:p>
          <w:p w14:paraId="000001FA">
            <w:pPr>
              <w:ind w:firstLine="708"/>
              <w:rPr>
                <w:szCs w:val="24"/>
              </w:rPr>
            </w:pPr>
            <w:r>
              <w:rPr>
                <w:szCs w:val="24"/>
              </w:rPr>
              <w:t xml:space="preserve">Психологическая структура общения. Коммуникативная (информационная) сторона общения. Модель коммуникативного процесса. Коммуникативные барьеры в общении. Приемы и способы эффективной коммуникации в деятельности юриста. </w:t>
            </w:r>
          </w:p>
          <w:p w14:paraId="000001FB">
            <w:pPr>
              <w:ind w:firstLine="708"/>
              <w:rPr>
                <w:szCs w:val="24"/>
              </w:rPr>
            </w:pPr>
            <w:r>
              <w:rPr>
                <w:szCs w:val="24"/>
              </w:rPr>
              <w:t xml:space="preserve">Перцептивная сторона общения. Технология   точного восприятия юристом участников уголовного процесса при производстве следственных действий. Невербальные средства и техники общения.  Вербальные техники общения. </w:t>
            </w:r>
          </w:p>
          <w:p w14:paraId="000001FC">
            <w:pPr>
              <w:ind w:firstLine="708"/>
              <w:rPr>
                <w:rFonts w:eastAsia="Calibri"/>
                <w:b/>
                <w:szCs w:val="24"/>
              </w:rPr>
            </w:pPr>
            <w:r>
              <w:rPr>
                <w:szCs w:val="24"/>
              </w:rPr>
              <w:t xml:space="preserve">Основные формы взаимодействия в общении. Психодиагностические средства оценки установок, мотивов, ориентаций, стратегий, навыков личности юристом в профессиональной деятельности. Технологии эффективного воздействия на партнера по общению в ситуациях служебной деятельности. Психологические условия эффективного осуществления юристом общения с различными категориями граждан. </w:t>
            </w:r>
          </w:p>
        </w:tc>
        <w:tc>
          <w:tcPr>
            <w:cnfStyle w:val="000000100000"/>
            <w:tcW w:w="1559" w:type="dxa"/>
            <w:tcBorders>
              <w:top w:val="single" w:color="000000" w:sz="4" w:space="0"/>
              <w:left w:val="single" w:color="000000" w:sz="4" w:space="0"/>
              <w:right w:val="single" w:color="000000" w:sz="4" w:space="0"/>
            </w:tcBorders>
          </w:tcPr>
          <w:p w14:paraId="000001FD">
            <w:pPr>
              <w:jc w:val="center"/>
              <w:rPr>
                <w:rFonts w:eastAsia="Calibri"/>
                <w:b/>
                <w:szCs w:val="24"/>
              </w:rPr>
            </w:pPr>
            <w:r>
              <w:rPr>
                <w:rFonts w:eastAsia="Calibri"/>
                <w:b/>
                <w:szCs w:val="24"/>
              </w:rPr>
              <w:t>2</w:t>
            </w:r>
            <w:r>
              <w:rPr>
                <w:rFonts w:eastAsia="Calibri"/>
                <w:b/>
                <w:szCs w:val="24"/>
              </w:rPr>
              <w:t>/2</w:t>
            </w:r>
          </w:p>
        </w:tc>
      </w:tr>
      <w:tr>
        <w:trPr>
          <w:trHeight w:val="52"/>
        </w:trPr>
        <w:tc>
          <w:tcPr>
            <w:cnfStyle w:val="001000010000"/>
            <w:tcW w:w="2794" w:type="dxa"/>
            <w:vMerge w:val="continue"/>
            <w:tcBorders>
              <w:left w:val="single" w:color="000000" w:sz="4" w:space="0"/>
              <w:right w:val="single" w:color="auto" w:sz="4" w:space="0"/>
            </w:tcBorders>
          </w:tcPr>
          <w:p w14:paraId="000001FE">
            <w:pPr>
              <w:jc w:val="right"/>
              <w:rPr>
                <w:rFonts w:eastAsia="Calibri"/>
                <w:b/>
                <w:szCs w:val="24"/>
              </w:rPr>
            </w:pPr>
          </w:p>
        </w:tc>
        <w:tc>
          <w:tcPr>
            <w:cnfStyle w:val="000000010000"/>
            <w:tcW w:w="4861" w:type="dxa"/>
            <w:tcBorders>
              <w:top w:val="single" w:color="000000" w:sz="4" w:space="0"/>
              <w:left w:val="single" w:color="auto" w:sz="4" w:space="0"/>
              <w:bottom w:val="single" w:color="000000" w:sz="4" w:space="0"/>
              <w:right w:val="single" w:color="000000" w:sz="4" w:space="0"/>
            </w:tcBorders>
          </w:tcPr>
          <w:p w14:paraId="000001FF">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010000"/>
            <w:tcW w:w="1559" w:type="dxa"/>
            <w:tcBorders>
              <w:left w:val="single" w:color="000000" w:sz="4" w:space="0"/>
              <w:right w:val="single" w:color="000000" w:sz="4" w:space="0"/>
            </w:tcBorders>
          </w:tcPr>
          <w:p w14:paraId="00000200">
            <w:pPr>
              <w:jc w:val="center"/>
              <w:rPr>
                <w:rFonts w:eastAsia="Calibri"/>
                <w:b/>
                <w:szCs w:val="24"/>
              </w:rPr>
            </w:pPr>
          </w:p>
        </w:tc>
      </w:tr>
      <w:tr>
        <w:trPr>
          <w:trHeight w:val="52"/>
        </w:trPr>
        <w:tc>
          <w:tcPr>
            <w:cnfStyle w:val="001000100000"/>
            <w:tcW w:w="2794" w:type="dxa"/>
            <w:vMerge w:val="continue"/>
            <w:tcBorders>
              <w:left w:val="single" w:color="000000" w:sz="4" w:space="0"/>
              <w:right w:val="single" w:color="auto" w:sz="4" w:space="0"/>
            </w:tcBorders>
          </w:tcPr>
          <w:p w14:paraId="00000201">
            <w:pPr>
              <w:jc w:val="right"/>
              <w:rPr>
                <w:rFonts w:eastAsia="Calibri"/>
                <w:b/>
                <w:szCs w:val="24"/>
              </w:rPr>
            </w:pPr>
          </w:p>
        </w:tc>
        <w:tc>
          <w:tcPr>
            <w:cnfStyle w:val="000000100000"/>
            <w:tcW w:w="4861" w:type="dxa"/>
            <w:tcBorders>
              <w:top w:val="single" w:color="000000" w:sz="4" w:space="0"/>
              <w:left w:val="single" w:color="auto" w:sz="4" w:space="0"/>
              <w:bottom w:val="single" w:color="000000" w:sz="4" w:space="0"/>
              <w:right w:val="single" w:color="000000" w:sz="4" w:space="0"/>
            </w:tcBorders>
          </w:tcPr>
          <w:p w14:paraId="00000202">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100000"/>
            <w:tcW w:w="1559" w:type="dxa"/>
            <w:tcBorders>
              <w:left w:val="single" w:color="000000" w:sz="4" w:space="0"/>
              <w:right w:val="single" w:color="000000" w:sz="4" w:space="0"/>
            </w:tcBorders>
          </w:tcPr>
          <w:p w14:paraId="00000203">
            <w:pPr>
              <w:jc w:val="center"/>
              <w:rPr>
                <w:rFonts w:eastAsia="Calibri"/>
                <w:b/>
                <w:szCs w:val="24"/>
              </w:rPr>
            </w:pPr>
            <w:r>
              <w:rPr>
                <w:rFonts w:eastAsia="Calibri"/>
                <w:b/>
                <w:szCs w:val="24"/>
              </w:rPr>
              <w:t>2</w:t>
            </w:r>
          </w:p>
        </w:tc>
      </w:tr>
      <w:tr>
        <w:trPr>
          <w:trHeight w:val="52"/>
        </w:trPr>
        <w:tc>
          <w:tcPr>
            <w:cnfStyle w:val="001000010000"/>
            <w:tcW w:w="2794" w:type="dxa"/>
            <w:vMerge w:val="continue"/>
            <w:tcBorders>
              <w:left w:val="single" w:color="000000" w:sz="4" w:space="0"/>
              <w:right w:val="single" w:color="auto" w:sz="4" w:space="0"/>
            </w:tcBorders>
          </w:tcPr>
          <w:p w14:paraId="00000204">
            <w:pPr>
              <w:jc w:val="right"/>
              <w:rPr>
                <w:rFonts w:eastAsia="Calibri"/>
                <w:b/>
                <w:szCs w:val="24"/>
              </w:rPr>
            </w:pPr>
          </w:p>
        </w:tc>
        <w:tc>
          <w:tcPr>
            <w:cnfStyle w:val="000000010000"/>
            <w:tcW w:w="4861" w:type="dxa"/>
            <w:tcBorders>
              <w:top w:val="single" w:color="000000" w:sz="4" w:space="0"/>
              <w:left w:val="single" w:color="auto" w:sz="4" w:space="0"/>
              <w:bottom w:val="single" w:color="000000" w:sz="4" w:space="0"/>
              <w:right w:val="single" w:color="000000" w:sz="4" w:space="0"/>
            </w:tcBorders>
          </w:tcPr>
          <w:p w14:paraId="00000205">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010000"/>
            <w:tcW w:w="1559" w:type="dxa"/>
            <w:tcBorders>
              <w:left w:val="single" w:color="000000" w:sz="4" w:space="0"/>
              <w:right w:val="single" w:color="000000" w:sz="4" w:space="0"/>
            </w:tcBorders>
          </w:tcPr>
          <w:p w14:paraId="00000206">
            <w:pPr>
              <w:jc w:val="center"/>
              <w:rPr>
                <w:rFonts w:eastAsia="Calibri"/>
                <w:b/>
                <w:szCs w:val="24"/>
              </w:rPr>
            </w:pPr>
          </w:p>
        </w:tc>
      </w:tr>
      <w:tr>
        <w:trPr>
          <w:trHeight w:val="52"/>
        </w:trPr>
        <w:tc>
          <w:tcPr>
            <w:cnfStyle w:val="001000100000"/>
            <w:tcW w:w="2794" w:type="dxa"/>
            <w:vMerge w:val="continue"/>
            <w:tcBorders>
              <w:left w:val="single" w:color="000000" w:sz="4" w:space="0"/>
              <w:bottom w:val="single" w:color="000000" w:sz="4" w:space="0"/>
              <w:right w:val="single" w:color="auto" w:sz="4" w:space="0"/>
            </w:tcBorders>
          </w:tcPr>
          <w:p w14:paraId="00000207">
            <w:pPr>
              <w:jc w:val="right"/>
              <w:rPr>
                <w:rFonts w:eastAsia="Calibri"/>
                <w:b/>
                <w:szCs w:val="24"/>
              </w:rPr>
            </w:pPr>
          </w:p>
        </w:tc>
        <w:tc>
          <w:tcPr>
            <w:cnfStyle w:val="000000100000"/>
            <w:tcW w:w="4861" w:type="dxa"/>
            <w:tcBorders>
              <w:top w:val="single" w:color="000000" w:sz="4" w:space="0"/>
              <w:left w:val="single" w:color="auto" w:sz="4" w:space="0"/>
              <w:bottom w:val="single" w:color="000000" w:sz="4" w:space="0"/>
              <w:right w:val="single" w:color="000000" w:sz="4" w:space="0"/>
            </w:tcBorders>
          </w:tcPr>
          <w:p w14:paraId="00000208">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100000"/>
            <w:tcW w:w="1559" w:type="dxa"/>
            <w:tcBorders>
              <w:left w:val="single" w:color="000000" w:sz="4" w:space="0"/>
              <w:bottom w:val="single" w:color="000000" w:sz="4" w:space="0"/>
              <w:right w:val="single" w:color="000000" w:sz="4" w:space="0"/>
            </w:tcBorders>
          </w:tcPr>
          <w:p w14:paraId="00000209">
            <w:pPr>
              <w:jc w:val="center"/>
              <w:rPr>
                <w:rFonts w:eastAsia="Calibri"/>
                <w:b/>
                <w:szCs w:val="24"/>
              </w:rPr>
            </w:pPr>
            <w:r>
              <w:rPr>
                <w:rFonts w:eastAsia="Calibri"/>
                <w:b/>
                <w:szCs w:val="24"/>
              </w:rPr>
              <w:t>2</w:t>
            </w:r>
          </w:p>
        </w:tc>
      </w:tr>
      <w:tr>
        <w:trPr>
          <w:trHeight w:val="7927"/>
        </w:trPr>
        <w:tc>
          <w:tcPr>
            <w:cnfStyle w:val="001000010000"/>
            <w:tcW w:w="2794" w:type="dxa"/>
            <w:vMerge w:val="restart"/>
            <w:tcBorders>
              <w:top w:val="single" w:color="000000" w:sz="4" w:space="0"/>
              <w:left w:val="single" w:color="000000" w:sz="4" w:space="0"/>
              <w:right w:val="single" w:color="auto" w:sz="4" w:space="0"/>
            </w:tcBorders>
          </w:tcPr>
          <w:p w14:paraId="0000020A">
            <w:pPr>
              <w:jc w:val="center"/>
              <w:rPr>
                <w:rFonts w:eastAsia="Calibri"/>
                <w:b/>
                <w:szCs w:val="24"/>
              </w:rPr>
            </w:pPr>
            <w:r>
              <w:rPr>
                <w:rFonts w:eastAsia="Calibri"/>
                <w:b/>
                <w:szCs w:val="24"/>
              </w:rPr>
              <w:t>Тема 2.6.</w:t>
            </w:r>
          </w:p>
          <w:p w14:paraId="0000020B">
            <w:pPr>
              <w:jc w:val="center"/>
              <w:rPr>
                <w:rFonts w:eastAsia="Calibri"/>
                <w:b/>
                <w:szCs w:val="24"/>
              </w:rPr>
            </w:pPr>
            <w:r>
              <w:rPr>
                <w:b/>
                <w:szCs w:val="24"/>
              </w:rPr>
              <w:t>Психология конфликтов в деятельности юриста</w:t>
            </w:r>
          </w:p>
        </w:tc>
        <w:tc>
          <w:tcPr>
            <w:cnfStyle w:val="000000010000"/>
            <w:tcW w:w="4861" w:type="dxa"/>
            <w:tcBorders>
              <w:top w:val="single" w:color="000000" w:sz="4" w:space="0"/>
              <w:left w:val="single" w:color="auto" w:sz="4" w:space="0"/>
              <w:right w:val="single" w:color="000000" w:sz="4" w:space="0"/>
            </w:tcBorders>
          </w:tcPr>
          <w:p w14:paraId="0000020C">
            <w:pPr>
              <w:jc w:val="right"/>
              <w:rPr>
                <w:rFonts w:eastAsia="Calibri"/>
                <w:b/>
                <w:szCs w:val="24"/>
              </w:rPr>
            </w:pPr>
            <w:r>
              <w:rPr>
                <w:rFonts w:eastAsia="Calibri"/>
                <w:b/>
                <w:szCs w:val="24"/>
              </w:rPr>
              <w:t>Содержание учебного материала:</w:t>
            </w:r>
          </w:p>
          <w:p w14:paraId="0000020D">
            <w:pPr>
              <w:ind w:firstLine="708"/>
              <w:rPr>
                <w:szCs w:val="24"/>
              </w:rPr>
            </w:pPr>
            <w:r>
              <w:rPr>
                <w:szCs w:val="24"/>
              </w:rPr>
              <w:t>Понятие конфликта, его сущность и структура. Условия возникновения конфликтов. Структура конфликта. Классификации конфликтов. Причины конфликтов. Этапы и фазы конфликта. Особенности механизма возникновения и протекания конфликтов в деятельности юриста.</w:t>
            </w:r>
            <w:r>
              <w:rPr>
                <w:szCs w:val="24"/>
              </w:rPr>
              <w:tab/>
            </w:r>
          </w:p>
          <w:p w14:paraId="0000020E">
            <w:pPr>
              <w:ind w:firstLine="708"/>
              <w:rPr>
                <w:szCs w:val="24"/>
              </w:rPr>
            </w:pPr>
            <w:r>
              <w:rPr>
                <w:szCs w:val="24"/>
              </w:rPr>
              <w:t xml:space="preserve">Управление конфликтами в деятельности юриста. Основное содержание управления конфликтами: прогнозирование, предупреждение, стимулирование, регулирование и разрешение. Технологии регулирования конфликта: информационные, коммуникативные, социально-психологические, организационные. Этапы регулирования конфликта. Предпосылки, формы и способы разрешения конфликтов. Поведение личности в конфликте: модели поведения в конфликтном взаимодействии; стратегии поведения; типы конфликтных личностей. Приемы, используемые юристом для управления конфликтами. </w:t>
            </w:r>
          </w:p>
          <w:p w14:paraId="0000020F">
            <w:pPr>
              <w:ind w:firstLine="708"/>
              <w:rPr>
                <w:szCs w:val="24"/>
              </w:rPr>
            </w:pPr>
            <w:r>
              <w:rPr>
                <w:szCs w:val="24"/>
              </w:rPr>
              <w:t xml:space="preserve">Понятие </w:t>
            </w:r>
            <w:r>
              <w:rPr>
                <w:szCs w:val="24"/>
              </w:rPr>
              <w:t>внутриличностного</w:t>
            </w:r>
            <w:r>
              <w:rPr>
                <w:szCs w:val="24"/>
              </w:rPr>
              <w:t xml:space="preserve"> конфликта и его особенности. Формы проявления </w:t>
            </w:r>
            <w:r>
              <w:rPr>
                <w:szCs w:val="24"/>
              </w:rPr>
              <w:t>внутриличностного</w:t>
            </w:r>
            <w:r>
              <w:rPr>
                <w:szCs w:val="24"/>
              </w:rPr>
              <w:t xml:space="preserve"> конфликта: неврастения, эйфория, регрессия, проекция, номадизм, рационализм. Способы разрешения </w:t>
            </w:r>
            <w:r>
              <w:rPr>
                <w:szCs w:val="24"/>
              </w:rPr>
              <w:t>внутриличностных</w:t>
            </w:r>
            <w:r>
              <w:rPr>
                <w:szCs w:val="24"/>
              </w:rPr>
              <w:t xml:space="preserve"> конфликтов: компромисс, уход, переориентация, сублимация, идеализация, вытеснение, коррекция. Особенности возникновения и разрешения </w:t>
            </w:r>
            <w:r>
              <w:rPr>
                <w:szCs w:val="24"/>
              </w:rPr>
              <w:t>внутриличностных</w:t>
            </w:r>
            <w:r>
              <w:rPr>
                <w:szCs w:val="24"/>
              </w:rPr>
              <w:t xml:space="preserve"> конфликтов в деятельности следователя.</w:t>
            </w:r>
          </w:p>
          <w:p w14:paraId="00000210">
            <w:pPr>
              <w:ind w:firstLine="708"/>
              <w:rPr>
                <w:rFonts w:eastAsia="Calibri"/>
                <w:b/>
                <w:szCs w:val="24"/>
              </w:rPr>
            </w:pPr>
            <w:r>
              <w:rPr>
                <w:szCs w:val="24"/>
              </w:rPr>
              <w:t>Психология переговорного процесса в экстремальных условиях. Стратегии и тактики поведения в переговорном процессе. Особенности ведения переговоров с преступниками.</w:t>
            </w:r>
          </w:p>
        </w:tc>
        <w:tc>
          <w:tcPr>
            <w:cnfStyle w:val="000000010000"/>
            <w:tcW w:w="1559" w:type="dxa"/>
            <w:tcBorders>
              <w:top w:val="single" w:color="000000" w:sz="4" w:space="0"/>
              <w:left w:val="single" w:color="000000" w:sz="4" w:space="0"/>
              <w:right w:val="single" w:color="000000" w:sz="4" w:space="0"/>
            </w:tcBorders>
          </w:tcPr>
          <w:p w14:paraId="00000211">
            <w:pPr>
              <w:jc w:val="center"/>
              <w:rPr>
                <w:rFonts w:eastAsia="Calibri"/>
                <w:b/>
                <w:szCs w:val="24"/>
              </w:rPr>
            </w:pPr>
            <w:r>
              <w:rPr>
                <w:rFonts w:eastAsia="Calibri"/>
                <w:b/>
                <w:szCs w:val="24"/>
              </w:rPr>
              <w:t>2</w:t>
            </w:r>
            <w:r>
              <w:rPr>
                <w:rFonts w:eastAsia="Calibri"/>
                <w:b/>
                <w:szCs w:val="24"/>
              </w:rPr>
              <w:t>/2</w:t>
            </w:r>
          </w:p>
        </w:tc>
      </w:tr>
      <w:tr>
        <w:trPr>
          <w:trHeight w:val="52"/>
        </w:trPr>
        <w:tc>
          <w:tcPr>
            <w:cnfStyle w:val="001000100000"/>
            <w:tcW w:w="2794" w:type="dxa"/>
            <w:vMerge w:val="continue"/>
            <w:tcBorders>
              <w:left w:val="single" w:color="000000" w:sz="4" w:space="0"/>
              <w:right w:val="single" w:color="auto" w:sz="4" w:space="0"/>
            </w:tcBorders>
          </w:tcPr>
          <w:p w14:paraId="00000212">
            <w:pPr>
              <w:jc w:val="right"/>
              <w:rPr>
                <w:rFonts w:eastAsia="Calibri"/>
                <w:b/>
                <w:szCs w:val="24"/>
              </w:rPr>
            </w:pPr>
          </w:p>
        </w:tc>
        <w:tc>
          <w:tcPr>
            <w:cnfStyle w:val="000000100000"/>
            <w:tcW w:w="4861" w:type="dxa"/>
            <w:tcBorders>
              <w:top w:val="single" w:color="000000" w:sz="4" w:space="0"/>
              <w:left w:val="single" w:color="auto" w:sz="4" w:space="0"/>
              <w:bottom w:val="single" w:color="000000" w:sz="4" w:space="0"/>
              <w:right w:val="single" w:color="000000" w:sz="4" w:space="0"/>
            </w:tcBorders>
          </w:tcPr>
          <w:p w14:paraId="00000213">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100000"/>
            <w:tcW w:w="1559" w:type="dxa"/>
            <w:tcBorders>
              <w:left w:val="single" w:color="000000" w:sz="4" w:space="0"/>
              <w:right w:val="single" w:color="000000" w:sz="4" w:space="0"/>
            </w:tcBorders>
          </w:tcPr>
          <w:p w14:paraId="00000214">
            <w:pPr>
              <w:jc w:val="center"/>
              <w:rPr>
                <w:rFonts w:eastAsia="Calibri"/>
                <w:b/>
                <w:szCs w:val="24"/>
              </w:rPr>
            </w:pPr>
          </w:p>
        </w:tc>
      </w:tr>
      <w:tr>
        <w:trPr>
          <w:trHeight w:val="52"/>
        </w:trPr>
        <w:tc>
          <w:tcPr>
            <w:cnfStyle w:val="001000010000"/>
            <w:tcW w:w="2794" w:type="dxa"/>
            <w:vMerge w:val="continue"/>
            <w:tcBorders>
              <w:left w:val="single" w:color="000000" w:sz="4" w:space="0"/>
              <w:right w:val="single" w:color="auto" w:sz="4" w:space="0"/>
            </w:tcBorders>
          </w:tcPr>
          <w:p w14:paraId="00000215">
            <w:pPr>
              <w:jc w:val="right"/>
              <w:rPr>
                <w:rFonts w:eastAsia="Calibri"/>
                <w:b/>
                <w:szCs w:val="24"/>
              </w:rPr>
            </w:pPr>
          </w:p>
        </w:tc>
        <w:tc>
          <w:tcPr>
            <w:cnfStyle w:val="000000010000"/>
            <w:tcW w:w="4861" w:type="dxa"/>
            <w:tcBorders>
              <w:top w:val="single" w:color="000000" w:sz="4" w:space="0"/>
              <w:left w:val="single" w:color="auto" w:sz="4" w:space="0"/>
              <w:bottom w:val="single" w:color="000000" w:sz="4" w:space="0"/>
              <w:right w:val="single" w:color="000000" w:sz="4" w:space="0"/>
            </w:tcBorders>
          </w:tcPr>
          <w:p w14:paraId="00000216">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010000"/>
            <w:tcW w:w="1559" w:type="dxa"/>
            <w:tcBorders>
              <w:left w:val="single" w:color="000000" w:sz="4" w:space="0"/>
              <w:right w:val="single" w:color="000000" w:sz="4" w:space="0"/>
            </w:tcBorders>
          </w:tcPr>
          <w:p w14:paraId="00000217">
            <w:pPr>
              <w:jc w:val="center"/>
              <w:rPr>
                <w:rFonts w:eastAsia="Calibri"/>
                <w:b/>
                <w:szCs w:val="24"/>
              </w:rPr>
            </w:pPr>
            <w:r>
              <w:rPr>
                <w:rFonts w:eastAsia="Calibri"/>
                <w:b/>
                <w:szCs w:val="24"/>
              </w:rPr>
              <w:t>2</w:t>
            </w:r>
          </w:p>
        </w:tc>
      </w:tr>
      <w:tr>
        <w:trPr>
          <w:trHeight w:val="52"/>
        </w:trPr>
        <w:tc>
          <w:tcPr>
            <w:cnfStyle w:val="001000100000"/>
            <w:tcW w:w="2794" w:type="dxa"/>
            <w:vMerge w:val="continue"/>
            <w:tcBorders>
              <w:left w:val="single" w:color="000000" w:sz="4" w:space="0"/>
              <w:right w:val="single" w:color="auto" w:sz="4" w:space="0"/>
            </w:tcBorders>
          </w:tcPr>
          <w:p w14:paraId="00000218">
            <w:pPr>
              <w:jc w:val="right"/>
              <w:rPr>
                <w:rFonts w:eastAsia="Calibri"/>
                <w:b/>
                <w:szCs w:val="24"/>
              </w:rPr>
            </w:pPr>
          </w:p>
        </w:tc>
        <w:tc>
          <w:tcPr>
            <w:cnfStyle w:val="000000100000"/>
            <w:tcW w:w="4861" w:type="dxa"/>
            <w:tcBorders>
              <w:top w:val="single" w:color="000000" w:sz="4" w:space="0"/>
              <w:left w:val="single" w:color="auto" w:sz="4" w:space="0"/>
              <w:bottom w:val="single" w:color="000000" w:sz="4" w:space="0"/>
              <w:right w:val="single" w:color="000000" w:sz="4" w:space="0"/>
            </w:tcBorders>
          </w:tcPr>
          <w:p w14:paraId="00000219">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100000"/>
            <w:tcW w:w="1559" w:type="dxa"/>
            <w:tcBorders>
              <w:left w:val="single" w:color="000000" w:sz="4" w:space="0"/>
              <w:right w:val="single" w:color="000000" w:sz="4" w:space="0"/>
            </w:tcBorders>
          </w:tcPr>
          <w:p w14:paraId="0000021A">
            <w:pPr>
              <w:jc w:val="center"/>
              <w:rPr>
                <w:rFonts w:eastAsia="Calibri"/>
                <w:b/>
                <w:szCs w:val="24"/>
              </w:rPr>
            </w:pPr>
          </w:p>
        </w:tc>
      </w:tr>
      <w:tr>
        <w:trPr>
          <w:trHeight w:val="52"/>
        </w:trPr>
        <w:tc>
          <w:tcPr>
            <w:cnfStyle w:val="001000010000"/>
            <w:tcW w:w="2794" w:type="dxa"/>
            <w:vMerge w:val="continue"/>
            <w:tcBorders>
              <w:left w:val="single" w:color="000000" w:sz="4" w:space="0"/>
              <w:bottom w:val="single" w:color="000000" w:sz="4" w:space="0"/>
              <w:right w:val="single" w:color="auto" w:sz="4" w:space="0"/>
            </w:tcBorders>
          </w:tcPr>
          <w:p w14:paraId="0000021B">
            <w:pPr>
              <w:jc w:val="right"/>
              <w:rPr>
                <w:rFonts w:eastAsia="Calibri"/>
                <w:b/>
                <w:szCs w:val="24"/>
              </w:rPr>
            </w:pPr>
          </w:p>
        </w:tc>
        <w:tc>
          <w:tcPr>
            <w:cnfStyle w:val="000000010000"/>
            <w:tcW w:w="4861" w:type="dxa"/>
            <w:tcBorders>
              <w:top w:val="single" w:color="000000" w:sz="4" w:space="0"/>
              <w:left w:val="single" w:color="auto" w:sz="4" w:space="0"/>
              <w:bottom w:val="single" w:color="000000" w:sz="4" w:space="0"/>
              <w:right w:val="single" w:color="000000" w:sz="4" w:space="0"/>
            </w:tcBorders>
          </w:tcPr>
          <w:p w14:paraId="0000021C">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010000"/>
            <w:tcW w:w="1559" w:type="dxa"/>
            <w:tcBorders>
              <w:left w:val="single" w:color="000000" w:sz="4" w:space="0"/>
              <w:bottom w:val="single" w:color="000000" w:sz="4" w:space="0"/>
              <w:right w:val="single" w:color="000000" w:sz="4" w:space="0"/>
            </w:tcBorders>
          </w:tcPr>
          <w:p w14:paraId="0000021D">
            <w:pPr>
              <w:jc w:val="center"/>
              <w:rPr>
                <w:rFonts w:eastAsia="Calibri"/>
                <w:b/>
                <w:szCs w:val="24"/>
              </w:rPr>
            </w:pPr>
            <w:r>
              <w:rPr>
                <w:rFonts w:eastAsia="Calibri"/>
                <w:b/>
                <w:szCs w:val="24"/>
              </w:rPr>
              <w:t>4</w:t>
            </w:r>
          </w:p>
        </w:tc>
      </w:tr>
      <w:tr>
        <w:trPr>
          <w:trHeight w:val="3220"/>
        </w:trPr>
        <w:tc>
          <w:tcPr>
            <w:cnfStyle w:val="001000100000"/>
            <w:tcW w:w="2794" w:type="dxa"/>
            <w:vMerge w:val="restart"/>
            <w:tcBorders>
              <w:top w:val="single" w:color="000000" w:sz="4" w:space="0"/>
              <w:left w:val="single" w:color="000000" w:sz="4" w:space="0"/>
              <w:right w:val="single" w:color="auto" w:sz="4" w:space="0"/>
            </w:tcBorders>
          </w:tcPr>
          <w:p w14:paraId="0000021E">
            <w:pPr>
              <w:jc w:val="center"/>
              <w:rPr>
                <w:rFonts w:eastAsia="Calibri"/>
                <w:b/>
                <w:szCs w:val="24"/>
              </w:rPr>
            </w:pPr>
            <w:r>
              <w:rPr>
                <w:rFonts w:eastAsia="Calibri"/>
                <w:b/>
                <w:szCs w:val="24"/>
              </w:rPr>
              <w:t>Тема 2.7.</w:t>
            </w:r>
          </w:p>
          <w:p w14:paraId="0000021F">
            <w:pPr>
              <w:jc w:val="center"/>
              <w:rPr>
                <w:rFonts w:eastAsia="Calibri"/>
                <w:b/>
                <w:szCs w:val="24"/>
              </w:rPr>
            </w:pPr>
            <w:r>
              <w:rPr>
                <w:b/>
                <w:bCs/>
                <w:szCs w:val="24"/>
              </w:rPr>
              <w:t>Судебно-психологическая экспертиза</w:t>
            </w:r>
          </w:p>
        </w:tc>
        <w:tc>
          <w:tcPr>
            <w:cnfStyle w:val="000000100000"/>
            <w:tcW w:w="4861" w:type="dxa"/>
            <w:tcBorders>
              <w:top w:val="single" w:color="000000" w:sz="4" w:space="0"/>
              <w:left w:val="single" w:color="auto" w:sz="4" w:space="0"/>
              <w:right w:val="single" w:color="000000" w:sz="4" w:space="0"/>
            </w:tcBorders>
          </w:tcPr>
          <w:p w14:paraId="00000220">
            <w:pPr>
              <w:jc w:val="right"/>
              <w:rPr>
                <w:rFonts w:eastAsia="Calibri"/>
                <w:b/>
                <w:szCs w:val="24"/>
              </w:rPr>
            </w:pPr>
            <w:r>
              <w:rPr>
                <w:rFonts w:eastAsia="Calibri"/>
                <w:b/>
                <w:szCs w:val="24"/>
              </w:rPr>
              <w:t>Содержание учебного материала:</w:t>
            </w:r>
          </w:p>
          <w:p w14:paraId="00000221">
            <w:pPr>
              <w:ind w:firstLine="708"/>
              <w:rPr>
                <w:rFonts w:eastAsia="Calibri"/>
                <w:b/>
                <w:szCs w:val="24"/>
              </w:rPr>
            </w:pPr>
            <w:r>
              <w:rPr>
                <w:szCs w:val="24"/>
              </w:rPr>
              <w:t>Объект и предмет судебно-психологической экспертизы (СПЭ). Основания назначения СПЭ в уголовном и гражданском процессах. Методологические основы проведения СПЭ. Основные вопросы, решаемые экспертом-психологом в ходе предварительного следствия и в суде.                                                                             Виды СПЭ, условия и порядок их проведения. СПЭ в составе комплексных судебных экспертиз.</w:t>
            </w:r>
          </w:p>
        </w:tc>
        <w:tc>
          <w:tcPr>
            <w:cnfStyle w:val="000000100000"/>
            <w:tcW w:w="1559" w:type="dxa"/>
            <w:tcBorders>
              <w:top w:val="single" w:color="000000" w:sz="4" w:space="0"/>
              <w:left w:val="single" w:color="000000" w:sz="4" w:space="0"/>
              <w:right w:val="single" w:color="000000" w:sz="4" w:space="0"/>
            </w:tcBorders>
          </w:tcPr>
          <w:p w14:paraId="00000222">
            <w:pPr>
              <w:jc w:val="center"/>
              <w:rPr>
                <w:rFonts w:eastAsia="Calibri"/>
                <w:b/>
                <w:szCs w:val="24"/>
              </w:rPr>
            </w:pPr>
            <w:r>
              <w:rPr>
                <w:rFonts w:eastAsia="Calibri"/>
                <w:b/>
                <w:szCs w:val="24"/>
              </w:rPr>
              <w:t>2</w:t>
            </w:r>
            <w:r>
              <w:rPr>
                <w:rFonts w:eastAsia="Calibri"/>
                <w:b/>
                <w:szCs w:val="24"/>
              </w:rPr>
              <w:t>/2</w:t>
            </w:r>
          </w:p>
        </w:tc>
      </w:tr>
      <w:tr>
        <w:trPr>
          <w:trHeight w:val="52"/>
        </w:trPr>
        <w:tc>
          <w:tcPr>
            <w:cnfStyle w:val="001000010000"/>
            <w:tcW w:w="2794" w:type="dxa"/>
            <w:vMerge w:val="continue"/>
            <w:tcBorders>
              <w:left w:val="single" w:color="000000" w:sz="4" w:space="0"/>
              <w:right w:val="single" w:color="auto" w:sz="4" w:space="0"/>
            </w:tcBorders>
          </w:tcPr>
          <w:p w14:paraId="00000223">
            <w:pPr>
              <w:jc w:val="right"/>
              <w:rPr>
                <w:rFonts w:eastAsia="Calibri"/>
                <w:b/>
                <w:szCs w:val="24"/>
              </w:rPr>
            </w:pPr>
          </w:p>
        </w:tc>
        <w:tc>
          <w:tcPr>
            <w:cnfStyle w:val="000000010000"/>
            <w:tcW w:w="4861" w:type="dxa"/>
            <w:tcBorders>
              <w:top w:val="single" w:color="000000" w:sz="4" w:space="0"/>
              <w:left w:val="single" w:color="auto" w:sz="4" w:space="0"/>
              <w:bottom w:val="single" w:color="000000" w:sz="4" w:space="0"/>
              <w:right w:val="single" w:color="000000" w:sz="4" w:space="0"/>
            </w:tcBorders>
          </w:tcPr>
          <w:p w14:paraId="00000224">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010000"/>
            <w:tcW w:w="1559" w:type="dxa"/>
            <w:tcBorders>
              <w:left w:val="single" w:color="000000" w:sz="4" w:space="0"/>
              <w:right w:val="single" w:color="000000" w:sz="4" w:space="0"/>
            </w:tcBorders>
          </w:tcPr>
          <w:p w14:paraId="00000225">
            <w:pPr>
              <w:jc w:val="center"/>
              <w:rPr>
                <w:rFonts w:eastAsia="Calibri"/>
                <w:b/>
                <w:szCs w:val="24"/>
              </w:rPr>
            </w:pPr>
          </w:p>
        </w:tc>
      </w:tr>
      <w:tr>
        <w:trPr>
          <w:trHeight w:val="52"/>
        </w:trPr>
        <w:tc>
          <w:tcPr>
            <w:cnfStyle w:val="001000100000"/>
            <w:tcW w:w="2794" w:type="dxa"/>
            <w:vMerge w:val="continue"/>
            <w:tcBorders>
              <w:left w:val="single" w:color="000000" w:sz="4" w:space="0"/>
              <w:right w:val="single" w:color="auto" w:sz="4" w:space="0"/>
            </w:tcBorders>
          </w:tcPr>
          <w:p w14:paraId="00000226">
            <w:pPr>
              <w:jc w:val="right"/>
              <w:rPr>
                <w:rFonts w:eastAsia="Calibri"/>
                <w:b/>
                <w:szCs w:val="24"/>
              </w:rPr>
            </w:pPr>
          </w:p>
        </w:tc>
        <w:tc>
          <w:tcPr>
            <w:cnfStyle w:val="000000100000"/>
            <w:tcW w:w="4861" w:type="dxa"/>
            <w:tcBorders>
              <w:top w:val="single" w:color="000000" w:sz="4" w:space="0"/>
              <w:left w:val="single" w:color="auto" w:sz="4" w:space="0"/>
              <w:bottom w:val="single" w:color="000000" w:sz="4" w:space="0"/>
              <w:right w:val="single" w:color="000000" w:sz="4" w:space="0"/>
            </w:tcBorders>
          </w:tcPr>
          <w:p w14:paraId="00000227">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100000"/>
            <w:tcW w:w="1559" w:type="dxa"/>
            <w:tcBorders>
              <w:left w:val="single" w:color="000000" w:sz="4" w:space="0"/>
              <w:right w:val="single" w:color="000000" w:sz="4" w:space="0"/>
            </w:tcBorders>
          </w:tcPr>
          <w:p w14:paraId="00000228">
            <w:pPr>
              <w:jc w:val="center"/>
              <w:rPr>
                <w:rFonts w:eastAsia="Calibri"/>
                <w:b/>
                <w:szCs w:val="24"/>
              </w:rPr>
            </w:pPr>
            <w:r>
              <w:rPr>
                <w:rFonts w:eastAsia="Calibri"/>
                <w:b/>
                <w:szCs w:val="24"/>
              </w:rPr>
              <w:t>2</w:t>
            </w:r>
          </w:p>
        </w:tc>
      </w:tr>
      <w:tr>
        <w:trPr>
          <w:trHeight w:val="52"/>
        </w:trPr>
        <w:tc>
          <w:tcPr>
            <w:cnfStyle w:val="001000010000"/>
            <w:tcW w:w="2794" w:type="dxa"/>
            <w:vMerge w:val="continue"/>
            <w:tcBorders>
              <w:left w:val="single" w:color="000000" w:sz="4" w:space="0"/>
              <w:right w:val="single" w:color="auto" w:sz="4" w:space="0"/>
            </w:tcBorders>
          </w:tcPr>
          <w:p w14:paraId="00000229">
            <w:pPr>
              <w:jc w:val="right"/>
              <w:rPr>
                <w:rFonts w:eastAsia="Calibri"/>
                <w:b/>
                <w:szCs w:val="24"/>
              </w:rPr>
            </w:pPr>
          </w:p>
        </w:tc>
        <w:tc>
          <w:tcPr>
            <w:cnfStyle w:val="000000010000"/>
            <w:tcW w:w="4861" w:type="dxa"/>
            <w:tcBorders>
              <w:top w:val="single" w:color="000000" w:sz="4" w:space="0"/>
              <w:left w:val="single" w:color="auto" w:sz="4" w:space="0"/>
              <w:bottom w:val="single" w:color="000000" w:sz="4" w:space="0"/>
              <w:right w:val="single" w:color="000000" w:sz="4" w:space="0"/>
            </w:tcBorders>
          </w:tcPr>
          <w:p w14:paraId="0000022A">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010000"/>
            <w:tcW w:w="1559" w:type="dxa"/>
            <w:tcBorders>
              <w:left w:val="single" w:color="000000" w:sz="4" w:space="0"/>
              <w:right w:val="single" w:color="000000" w:sz="4" w:space="0"/>
            </w:tcBorders>
          </w:tcPr>
          <w:p w14:paraId="0000022B">
            <w:pPr>
              <w:jc w:val="center"/>
              <w:rPr>
                <w:rFonts w:eastAsia="Calibri"/>
                <w:b/>
                <w:szCs w:val="24"/>
              </w:rPr>
            </w:pPr>
          </w:p>
        </w:tc>
      </w:tr>
      <w:tr>
        <w:trPr>
          <w:trHeight w:val="52"/>
        </w:trPr>
        <w:tc>
          <w:tcPr>
            <w:cnfStyle w:val="001000100000"/>
            <w:tcW w:w="2794" w:type="dxa"/>
            <w:vMerge w:val="continue"/>
            <w:tcBorders>
              <w:left w:val="single" w:color="000000" w:sz="4" w:space="0"/>
              <w:bottom w:val="single" w:color="000000" w:sz="4" w:space="0"/>
              <w:right w:val="single" w:color="auto" w:sz="4" w:space="0"/>
            </w:tcBorders>
          </w:tcPr>
          <w:p w14:paraId="0000022C">
            <w:pPr>
              <w:jc w:val="right"/>
              <w:rPr>
                <w:rFonts w:eastAsia="Calibri"/>
                <w:b/>
                <w:szCs w:val="24"/>
              </w:rPr>
            </w:pPr>
          </w:p>
        </w:tc>
        <w:tc>
          <w:tcPr>
            <w:cnfStyle w:val="000000100000"/>
            <w:tcW w:w="4861" w:type="dxa"/>
            <w:tcBorders>
              <w:top w:val="single" w:color="000000" w:sz="4" w:space="0"/>
              <w:left w:val="single" w:color="auto" w:sz="4" w:space="0"/>
              <w:bottom w:val="single" w:color="000000" w:sz="4" w:space="0"/>
              <w:right w:val="single" w:color="000000" w:sz="4" w:space="0"/>
            </w:tcBorders>
          </w:tcPr>
          <w:p w14:paraId="0000022D">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100000"/>
            <w:tcW w:w="1559" w:type="dxa"/>
            <w:tcBorders>
              <w:left w:val="single" w:color="000000" w:sz="4" w:space="0"/>
              <w:bottom w:val="single" w:color="000000" w:sz="4" w:space="0"/>
              <w:right w:val="single" w:color="000000" w:sz="4" w:space="0"/>
            </w:tcBorders>
          </w:tcPr>
          <w:p w14:paraId="0000022E">
            <w:pPr>
              <w:jc w:val="center"/>
              <w:rPr>
                <w:rFonts w:eastAsia="Calibri"/>
                <w:b/>
                <w:szCs w:val="24"/>
              </w:rPr>
            </w:pPr>
            <w:r>
              <w:rPr>
                <w:rFonts w:eastAsia="Calibri"/>
                <w:b/>
                <w:szCs w:val="24"/>
              </w:rPr>
              <w:t>-</w:t>
            </w:r>
          </w:p>
        </w:tc>
      </w:tr>
      <w:tr>
        <w:trPr>
          <w:trHeight w:val="7589"/>
        </w:trPr>
        <w:tc>
          <w:tcPr>
            <w:cnfStyle w:val="001000010000"/>
            <w:tcW w:w="2794" w:type="dxa"/>
            <w:vMerge w:val="restart"/>
            <w:tcBorders>
              <w:top w:val="single" w:color="000000" w:sz="4" w:space="0"/>
              <w:left w:val="single" w:color="000000" w:sz="4" w:space="0"/>
              <w:right w:val="single" w:color="auto" w:sz="4" w:space="0"/>
            </w:tcBorders>
          </w:tcPr>
          <w:p w14:paraId="0000022F">
            <w:pPr>
              <w:jc w:val="center"/>
              <w:rPr>
                <w:rFonts w:eastAsia="Calibri"/>
                <w:b/>
                <w:szCs w:val="24"/>
              </w:rPr>
            </w:pPr>
            <w:r>
              <w:rPr>
                <w:rFonts w:eastAsia="Calibri"/>
                <w:b/>
                <w:szCs w:val="24"/>
              </w:rPr>
              <w:t>Тема 2.8.</w:t>
            </w:r>
          </w:p>
          <w:p w14:paraId="00000230">
            <w:pPr>
              <w:jc w:val="center"/>
              <w:rPr>
                <w:rFonts w:eastAsia="Calibri"/>
                <w:b/>
                <w:szCs w:val="24"/>
              </w:rPr>
            </w:pPr>
            <w:r>
              <w:rPr>
                <w:b/>
                <w:bCs/>
                <w:spacing w:val="-2"/>
                <w:szCs w:val="24"/>
              </w:rPr>
              <w:t xml:space="preserve">Психология деятельности юристов правоохранительных органов </w:t>
            </w:r>
            <w:r>
              <w:rPr>
                <w:b/>
                <w:bCs/>
                <w:szCs w:val="24"/>
              </w:rPr>
              <w:t>в экстремальных условиях</w:t>
            </w:r>
          </w:p>
        </w:tc>
        <w:tc>
          <w:tcPr>
            <w:cnfStyle w:val="000000010000"/>
            <w:tcW w:w="4861" w:type="dxa"/>
            <w:tcBorders>
              <w:top w:val="single" w:color="000000" w:sz="4" w:space="0"/>
              <w:left w:val="single" w:color="auto" w:sz="4" w:space="0"/>
              <w:right w:val="single" w:color="000000" w:sz="4" w:space="0"/>
            </w:tcBorders>
          </w:tcPr>
          <w:p w14:paraId="00000231">
            <w:pPr>
              <w:jc w:val="right"/>
              <w:rPr>
                <w:rFonts w:eastAsia="Calibri"/>
                <w:b/>
                <w:szCs w:val="24"/>
              </w:rPr>
            </w:pPr>
            <w:r>
              <w:rPr>
                <w:rFonts w:eastAsia="Calibri"/>
                <w:b/>
                <w:szCs w:val="24"/>
              </w:rPr>
              <w:t>Содержание учебного материала:</w:t>
            </w:r>
          </w:p>
          <w:p w14:paraId="00000232">
            <w:pPr>
              <w:shd w:val="clear" w:color="auto" w:fill="ffffff"/>
              <w:ind w:left="24" w:right="19" w:firstLine="533"/>
              <w:rPr>
                <w:szCs w:val="24"/>
              </w:rPr>
            </w:pPr>
            <w:r>
              <w:rPr>
                <w:spacing w:val="-1"/>
                <w:szCs w:val="24"/>
              </w:rPr>
              <w:t>Цели, содержание и программы психологической подготовки юристов ПО</w:t>
            </w:r>
            <w:r>
              <w:rPr>
                <w:szCs w:val="24"/>
              </w:rPr>
              <w:t xml:space="preserve"> к действиям в экстремальных условиях. </w:t>
            </w:r>
            <w:r>
              <w:rPr>
                <w:spacing w:val="-1"/>
                <w:szCs w:val="24"/>
              </w:rPr>
              <w:t>Влияние экстремальных ситуаций на психику и действия работников пра</w:t>
            </w:r>
            <w:r>
              <w:rPr>
                <w:spacing w:val="-1"/>
                <w:szCs w:val="24"/>
              </w:rPr>
              <w:softHyphen/>
            </w:r>
            <w:r>
              <w:rPr>
                <w:spacing w:val="-2"/>
                <w:szCs w:val="24"/>
              </w:rPr>
              <w:t>воохранительных органов. Особенности изменений психологии личности в экс</w:t>
            </w:r>
            <w:r>
              <w:rPr>
                <w:spacing w:val="-2"/>
                <w:szCs w:val="24"/>
              </w:rPr>
              <w:softHyphen/>
            </w:r>
            <w:r>
              <w:rPr>
                <w:szCs w:val="24"/>
              </w:rPr>
              <w:t>тремальной ситуации. Негативные психологические последствия экстремаль</w:t>
            </w:r>
            <w:r>
              <w:rPr>
                <w:szCs w:val="24"/>
              </w:rPr>
              <w:softHyphen/>
            </w:r>
            <w:r>
              <w:rPr>
                <w:szCs w:val="24"/>
              </w:rPr>
              <w:t>ных ситуаций. Система экстремальных факторов психогенного риска. Адапта</w:t>
            </w:r>
            <w:r>
              <w:rPr>
                <w:szCs w:val="24"/>
              </w:rPr>
              <w:softHyphen/>
            </w:r>
            <w:r>
              <w:rPr>
                <w:szCs w:val="24"/>
              </w:rPr>
              <w:t xml:space="preserve">ция к экстремальным условиям деятельности: понятие и основные этапы. Психическая травма (ПТ): понятие, признаки, методы </w:t>
            </w:r>
            <w:r>
              <w:rPr>
                <w:szCs w:val="24"/>
              </w:rPr>
              <w:t>реалибитации</w:t>
            </w:r>
            <w:r>
              <w:rPr>
                <w:szCs w:val="24"/>
              </w:rPr>
              <w:t xml:space="preserve">. Посттравматические стрессовые расстройства (ПТСР): понятие, методы диагностики и профилактики. </w:t>
            </w:r>
            <w:r>
              <w:rPr>
                <w:spacing w:val="-2"/>
                <w:szCs w:val="24"/>
              </w:rPr>
              <w:t>Условия, факторы и психологические средства обеспечения личной безо</w:t>
            </w:r>
            <w:r>
              <w:rPr>
                <w:spacing w:val="-2"/>
                <w:szCs w:val="24"/>
              </w:rPr>
              <w:softHyphen/>
            </w:r>
            <w:r>
              <w:rPr>
                <w:szCs w:val="24"/>
              </w:rPr>
              <w:t>пасности в экстремальных условиях. Личностный адаптационный потенциал:</w:t>
            </w:r>
          </w:p>
          <w:p w14:paraId="00000233">
            <w:pPr>
              <w:rPr>
                <w:rFonts w:eastAsia="Calibri"/>
                <w:b/>
                <w:szCs w:val="24"/>
              </w:rPr>
            </w:pPr>
            <w:r>
              <w:rPr>
                <w:szCs w:val="24"/>
              </w:rPr>
              <w:t xml:space="preserve">понятие, методы диагностики. Психологические приемы </w:t>
            </w:r>
            <w:r>
              <w:rPr>
                <w:szCs w:val="24"/>
              </w:rPr>
              <w:t>саморегуляции</w:t>
            </w:r>
            <w:r>
              <w:rPr>
                <w:szCs w:val="24"/>
              </w:rPr>
              <w:t xml:space="preserve"> эмо</w:t>
            </w:r>
            <w:r>
              <w:rPr>
                <w:szCs w:val="24"/>
              </w:rPr>
              <w:softHyphen/>
            </w:r>
            <w:r>
              <w:rPr>
                <w:szCs w:val="24"/>
              </w:rPr>
              <w:t>циональных состояний в экстремальных ситуациях жизнедеятельности.</w:t>
            </w:r>
          </w:p>
        </w:tc>
        <w:tc>
          <w:tcPr>
            <w:cnfStyle w:val="000000010000"/>
            <w:tcW w:w="1559" w:type="dxa"/>
            <w:tcBorders>
              <w:top w:val="single" w:color="000000" w:sz="4" w:space="0"/>
              <w:left w:val="single" w:color="000000" w:sz="4" w:space="0"/>
              <w:right w:val="single" w:color="000000" w:sz="4" w:space="0"/>
            </w:tcBorders>
          </w:tcPr>
          <w:p w14:paraId="00000234">
            <w:pPr>
              <w:jc w:val="center"/>
              <w:rPr>
                <w:rFonts w:eastAsia="Calibri"/>
                <w:b/>
                <w:szCs w:val="24"/>
              </w:rPr>
            </w:pPr>
            <w:r>
              <w:rPr>
                <w:rFonts w:eastAsia="Calibri"/>
                <w:b/>
                <w:szCs w:val="24"/>
              </w:rPr>
              <w:t>2</w:t>
            </w:r>
            <w:r>
              <w:rPr>
                <w:rFonts w:eastAsia="Calibri"/>
                <w:b/>
                <w:szCs w:val="24"/>
              </w:rPr>
              <w:t>/2</w:t>
            </w:r>
          </w:p>
        </w:tc>
      </w:tr>
      <w:tr>
        <w:trPr>
          <w:trHeight w:val="52"/>
        </w:trPr>
        <w:tc>
          <w:tcPr>
            <w:cnfStyle w:val="001000100000"/>
            <w:tcW w:w="2794" w:type="dxa"/>
            <w:vMerge w:val="continue"/>
            <w:tcBorders>
              <w:left w:val="single" w:color="000000" w:sz="4" w:space="0"/>
              <w:right w:val="single" w:color="auto" w:sz="4" w:space="0"/>
            </w:tcBorders>
          </w:tcPr>
          <w:p w14:paraId="00000235">
            <w:pPr>
              <w:jc w:val="right"/>
              <w:rPr>
                <w:rFonts w:eastAsia="Calibri"/>
                <w:b/>
                <w:szCs w:val="24"/>
              </w:rPr>
            </w:pPr>
          </w:p>
        </w:tc>
        <w:tc>
          <w:tcPr>
            <w:cnfStyle w:val="000000100000"/>
            <w:tcW w:w="4861" w:type="dxa"/>
            <w:tcBorders>
              <w:top w:val="single" w:color="000000" w:sz="4" w:space="0"/>
              <w:left w:val="single" w:color="auto" w:sz="4" w:space="0"/>
              <w:bottom w:val="single" w:color="000000" w:sz="4" w:space="0"/>
              <w:right w:val="single" w:color="000000" w:sz="4" w:space="0"/>
            </w:tcBorders>
          </w:tcPr>
          <w:p w14:paraId="00000236">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100000"/>
            <w:tcW w:w="1559" w:type="dxa"/>
            <w:tcBorders>
              <w:left w:val="single" w:color="000000" w:sz="4" w:space="0"/>
              <w:right w:val="single" w:color="000000" w:sz="4" w:space="0"/>
            </w:tcBorders>
          </w:tcPr>
          <w:p w14:paraId="00000237">
            <w:pPr>
              <w:jc w:val="center"/>
              <w:rPr>
                <w:rFonts w:eastAsia="Calibri"/>
                <w:b/>
                <w:szCs w:val="24"/>
              </w:rPr>
            </w:pPr>
          </w:p>
        </w:tc>
      </w:tr>
      <w:tr>
        <w:trPr>
          <w:trHeight w:val="52"/>
        </w:trPr>
        <w:tc>
          <w:tcPr>
            <w:cnfStyle w:val="001000010000"/>
            <w:tcW w:w="2794" w:type="dxa"/>
            <w:vMerge w:val="continue"/>
            <w:tcBorders>
              <w:left w:val="single" w:color="000000" w:sz="4" w:space="0"/>
              <w:right w:val="single" w:color="auto" w:sz="4" w:space="0"/>
            </w:tcBorders>
          </w:tcPr>
          <w:p w14:paraId="00000238">
            <w:pPr>
              <w:jc w:val="right"/>
              <w:rPr>
                <w:rFonts w:eastAsia="Calibri"/>
                <w:b/>
                <w:szCs w:val="24"/>
              </w:rPr>
            </w:pPr>
          </w:p>
        </w:tc>
        <w:tc>
          <w:tcPr>
            <w:cnfStyle w:val="000000010000"/>
            <w:tcW w:w="4861" w:type="dxa"/>
            <w:tcBorders>
              <w:top w:val="single" w:color="000000" w:sz="4" w:space="0"/>
              <w:left w:val="single" w:color="auto" w:sz="4" w:space="0"/>
              <w:bottom w:val="single" w:color="000000" w:sz="4" w:space="0"/>
              <w:right w:val="single" w:color="000000" w:sz="4" w:space="0"/>
            </w:tcBorders>
          </w:tcPr>
          <w:p w14:paraId="00000239">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010000"/>
            <w:tcW w:w="1559" w:type="dxa"/>
            <w:tcBorders>
              <w:left w:val="single" w:color="000000" w:sz="4" w:space="0"/>
              <w:right w:val="single" w:color="000000" w:sz="4" w:space="0"/>
            </w:tcBorders>
          </w:tcPr>
          <w:p w14:paraId="0000023A">
            <w:pPr>
              <w:jc w:val="center"/>
              <w:rPr>
                <w:rFonts w:eastAsia="Calibri"/>
                <w:b/>
                <w:szCs w:val="24"/>
              </w:rPr>
            </w:pPr>
            <w:r>
              <w:rPr>
                <w:rFonts w:eastAsia="Calibri"/>
                <w:b/>
                <w:szCs w:val="24"/>
              </w:rPr>
              <w:t>2</w:t>
            </w:r>
          </w:p>
        </w:tc>
      </w:tr>
      <w:tr>
        <w:trPr>
          <w:trHeight w:val="52"/>
        </w:trPr>
        <w:tc>
          <w:tcPr>
            <w:cnfStyle w:val="001000100000"/>
            <w:tcW w:w="2794" w:type="dxa"/>
            <w:vMerge w:val="continue"/>
            <w:tcBorders>
              <w:left w:val="single" w:color="000000" w:sz="4" w:space="0"/>
              <w:right w:val="single" w:color="auto" w:sz="4" w:space="0"/>
            </w:tcBorders>
          </w:tcPr>
          <w:p w14:paraId="0000023B">
            <w:pPr>
              <w:jc w:val="right"/>
              <w:rPr>
                <w:rFonts w:eastAsia="Calibri"/>
                <w:b/>
                <w:szCs w:val="24"/>
              </w:rPr>
            </w:pPr>
          </w:p>
        </w:tc>
        <w:tc>
          <w:tcPr>
            <w:cnfStyle w:val="000000100000"/>
            <w:tcW w:w="4861" w:type="dxa"/>
            <w:tcBorders>
              <w:top w:val="single" w:color="000000" w:sz="4" w:space="0"/>
              <w:left w:val="single" w:color="auto" w:sz="4" w:space="0"/>
              <w:bottom w:val="single" w:color="000000" w:sz="4" w:space="0"/>
              <w:right w:val="single" w:color="000000" w:sz="4" w:space="0"/>
            </w:tcBorders>
          </w:tcPr>
          <w:p w14:paraId="0000023C">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100000"/>
            <w:tcW w:w="1559" w:type="dxa"/>
            <w:tcBorders>
              <w:left w:val="single" w:color="000000" w:sz="4" w:space="0"/>
              <w:right w:val="single" w:color="000000" w:sz="4" w:space="0"/>
            </w:tcBorders>
          </w:tcPr>
          <w:p w14:paraId="0000023D">
            <w:pPr>
              <w:jc w:val="center"/>
              <w:rPr>
                <w:rFonts w:eastAsia="Calibri"/>
                <w:b/>
                <w:szCs w:val="24"/>
              </w:rPr>
            </w:pPr>
          </w:p>
        </w:tc>
      </w:tr>
      <w:tr>
        <w:trPr>
          <w:trHeight w:val="52"/>
        </w:trPr>
        <w:tc>
          <w:tcPr>
            <w:cnfStyle w:val="001000010000"/>
            <w:tcW w:w="2794" w:type="dxa"/>
            <w:vMerge w:val="continue"/>
            <w:tcBorders>
              <w:left w:val="single" w:color="000000" w:sz="4" w:space="0"/>
              <w:bottom w:val="single" w:color="000000" w:sz="4" w:space="0"/>
              <w:right w:val="single" w:color="auto" w:sz="4" w:space="0"/>
            </w:tcBorders>
          </w:tcPr>
          <w:p w14:paraId="0000023E">
            <w:pPr>
              <w:jc w:val="right"/>
              <w:rPr>
                <w:rFonts w:eastAsia="Calibri"/>
                <w:b/>
                <w:szCs w:val="24"/>
              </w:rPr>
            </w:pPr>
          </w:p>
        </w:tc>
        <w:tc>
          <w:tcPr>
            <w:cnfStyle w:val="000000010000"/>
            <w:tcW w:w="4861" w:type="dxa"/>
            <w:tcBorders>
              <w:top w:val="single" w:color="000000" w:sz="4" w:space="0"/>
              <w:left w:val="single" w:color="auto" w:sz="4" w:space="0"/>
              <w:bottom w:val="single" w:color="000000" w:sz="4" w:space="0"/>
              <w:right w:val="single" w:color="000000" w:sz="4" w:space="0"/>
            </w:tcBorders>
          </w:tcPr>
          <w:p w14:paraId="0000023F">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010000"/>
            <w:tcW w:w="1559" w:type="dxa"/>
            <w:tcBorders>
              <w:left w:val="single" w:color="000000" w:sz="4" w:space="0"/>
              <w:bottom w:val="single" w:color="000000" w:sz="4" w:space="0"/>
              <w:right w:val="single" w:color="000000" w:sz="4" w:space="0"/>
            </w:tcBorders>
          </w:tcPr>
          <w:p w14:paraId="00000240">
            <w:pPr>
              <w:jc w:val="center"/>
              <w:rPr>
                <w:rFonts w:eastAsia="Calibri"/>
                <w:b/>
                <w:szCs w:val="24"/>
              </w:rPr>
            </w:pPr>
            <w:r>
              <w:rPr>
                <w:rFonts w:eastAsia="Calibri"/>
                <w:b/>
                <w:szCs w:val="24"/>
              </w:rPr>
              <w:t>-</w:t>
            </w:r>
          </w:p>
        </w:tc>
      </w:tr>
      <w:tr>
        <w:trPr>
          <w:trHeight w:val="55"/>
        </w:trPr>
        <w:tc>
          <w:tcPr>
            <w:cnfStyle w:val="001000100000"/>
            <w:tcW w:w="2794" w:type="dxa"/>
            <w:vMerge w:val="restart"/>
            <w:tcBorders>
              <w:top w:val="single" w:color="000000" w:sz="4" w:space="0"/>
              <w:left w:val="single" w:color="000000" w:sz="4" w:space="0"/>
              <w:right w:val="single" w:color="auto" w:sz="4" w:space="0"/>
            </w:tcBorders>
          </w:tcPr>
          <w:p w14:paraId="00000241">
            <w:pPr>
              <w:jc w:val="center"/>
              <w:rPr>
                <w:rFonts w:eastAsia="Calibri"/>
                <w:b/>
                <w:szCs w:val="24"/>
              </w:rPr>
            </w:pPr>
            <w:r>
              <w:rPr>
                <w:rFonts w:eastAsia="Calibri"/>
                <w:b/>
                <w:szCs w:val="24"/>
              </w:rPr>
              <w:t>Тема 2.9.</w:t>
            </w:r>
          </w:p>
          <w:p w14:paraId="00000242">
            <w:pPr>
              <w:jc w:val="center"/>
              <w:rPr>
                <w:rFonts w:eastAsia="Calibri"/>
                <w:b/>
                <w:szCs w:val="24"/>
              </w:rPr>
            </w:pPr>
            <w:r>
              <w:rPr>
                <w:b/>
                <w:bCs/>
                <w:spacing w:val="-3"/>
                <w:szCs w:val="24"/>
              </w:rPr>
              <w:t xml:space="preserve">Нетрадиционные методы раскрытия и </w:t>
            </w:r>
            <w:r>
              <w:rPr>
                <w:b/>
                <w:bCs/>
                <w:spacing w:val="-2"/>
                <w:szCs w:val="24"/>
              </w:rPr>
              <w:t>расследования преступлений</w:t>
            </w:r>
          </w:p>
        </w:tc>
        <w:tc>
          <w:tcPr>
            <w:cnfStyle w:val="000000100000"/>
            <w:tcW w:w="4861" w:type="dxa"/>
            <w:tcBorders>
              <w:top w:val="single" w:color="000000" w:sz="4" w:space="0"/>
              <w:left w:val="single" w:color="auto" w:sz="4" w:space="0"/>
              <w:bottom w:val="single" w:color="000000" w:sz="4" w:space="0"/>
              <w:right w:val="single" w:color="000000" w:sz="4" w:space="0"/>
            </w:tcBorders>
          </w:tcPr>
          <w:p w14:paraId="00000243">
            <w:pPr>
              <w:jc w:val="right"/>
              <w:rPr>
                <w:rFonts w:eastAsia="Calibri"/>
                <w:b/>
                <w:szCs w:val="24"/>
              </w:rPr>
            </w:pPr>
            <w:r>
              <w:rPr>
                <w:rFonts w:eastAsia="Calibri"/>
                <w:b/>
                <w:szCs w:val="24"/>
              </w:rPr>
              <w:t>Содержание учебного материала:</w:t>
            </w:r>
          </w:p>
        </w:tc>
        <w:tc>
          <w:tcPr>
            <w:cnfStyle w:val="000000100000"/>
            <w:tcW w:w="1559" w:type="dxa"/>
            <w:tcBorders>
              <w:top w:val="single" w:color="000000" w:sz="4" w:space="0"/>
              <w:left w:val="single" w:color="000000" w:sz="4" w:space="0"/>
              <w:right w:val="single" w:color="000000" w:sz="4" w:space="0"/>
            </w:tcBorders>
          </w:tcPr>
          <w:p w14:paraId="00000244">
            <w:pPr>
              <w:jc w:val="center"/>
              <w:rPr>
                <w:rFonts w:eastAsia="Calibri"/>
                <w:b/>
                <w:szCs w:val="24"/>
              </w:rPr>
            </w:pPr>
          </w:p>
        </w:tc>
      </w:tr>
      <w:tr>
        <w:trPr>
          <w:trHeight w:val="52"/>
        </w:trPr>
        <w:tc>
          <w:tcPr>
            <w:cnfStyle w:val="001000010000"/>
            <w:tcW w:w="2794" w:type="dxa"/>
            <w:vMerge w:val="continue"/>
            <w:tcBorders>
              <w:left w:val="single" w:color="000000" w:sz="4" w:space="0"/>
              <w:right w:val="single" w:color="auto" w:sz="4" w:space="0"/>
            </w:tcBorders>
          </w:tcPr>
          <w:p w14:paraId="00000245">
            <w:pPr>
              <w:jc w:val="right"/>
              <w:rPr>
                <w:rFonts w:eastAsia="Calibri"/>
                <w:b/>
                <w:szCs w:val="24"/>
              </w:rPr>
            </w:pPr>
          </w:p>
        </w:tc>
        <w:tc>
          <w:tcPr>
            <w:cnfStyle w:val="000000010000"/>
            <w:tcW w:w="4861" w:type="dxa"/>
            <w:tcBorders>
              <w:top w:val="single" w:color="000000" w:sz="4" w:space="0"/>
              <w:left w:val="single" w:color="auto" w:sz="4" w:space="0"/>
              <w:bottom w:val="single" w:color="000000" w:sz="4" w:space="0"/>
              <w:right w:val="single" w:color="000000" w:sz="4" w:space="0"/>
            </w:tcBorders>
          </w:tcPr>
          <w:p w14:paraId="00000246">
            <w:pPr>
              <w:shd w:val="clear" w:color="auto" w:fill="ffffff"/>
              <w:ind w:left="30"/>
              <w:rPr>
                <w:szCs w:val="24"/>
              </w:rPr>
            </w:pPr>
            <w:r>
              <w:rPr>
                <w:szCs w:val="24"/>
              </w:rPr>
              <w:t>Понятие и виды нетрадиционных методов раскрытия преступлений.</w:t>
            </w:r>
          </w:p>
          <w:p w14:paraId="00000247">
            <w:pPr>
              <w:shd w:val="clear" w:color="auto" w:fill="ffffff"/>
              <w:spacing w:before="5"/>
              <w:ind w:left="5" w:firstLine="542"/>
              <w:jc w:val="both"/>
              <w:rPr>
                <w:szCs w:val="24"/>
              </w:rPr>
            </w:pPr>
            <w:r>
              <w:rPr>
                <w:spacing w:val="-1"/>
                <w:szCs w:val="24"/>
              </w:rPr>
              <w:t>Правовые основания, условия и методика привлечения лиц, обладающих экстрасенсорными способностями, для раскрытия преступлений. Методы оцен</w:t>
            </w:r>
            <w:r>
              <w:rPr>
                <w:spacing w:val="-1"/>
                <w:szCs w:val="24"/>
              </w:rPr>
              <w:softHyphen/>
            </w:r>
            <w:r>
              <w:rPr>
                <w:szCs w:val="24"/>
              </w:rPr>
              <w:t>ки выраженности экстрасенсорных способностей лиц, участвующих в раскры</w:t>
            </w:r>
            <w:r>
              <w:rPr>
                <w:szCs w:val="24"/>
              </w:rPr>
              <w:softHyphen/>
            </w:r>
            <w:r>
              <w:rPr>
                <w:szCs w:val="24"/>
              </w:rPr>
              <w:t>тии преступления. Требования к организации работы с ними.</w:t>
            </w:r>
          </w:p>
          <w:p w14:paraId="00000248">
            <w:pPr>
              <w:shd w:val="clear" w:color="auto" w:fill="ffffff"/>
              <w:ind w:left="14" w:right="10" w:firstLine="533"/>
              <w:jc w:val="both"/>
              <w:rPr>
                <w:szCs w:val="24"/>
              </w:rPr>
            </w:pPr>
            <w:r>
              <w:rPr>
                <w:spacing w:val="-2"/>
                <w:szCs w:val="24"/>
              </w:rPr>
              <w:t>Гипнорепродукционный</w:t>
            </w:r>
            <w:r>
              <w:rPr>
                <w:spacing w:val="-2"/>
                <w:szCs w:val="24"/>
              </w:rPr>
              <w:t xml:space="preserve"> опрос: понятие, условия получения </w:t>
            </w:r>
            <w:r>
              <w:rPr>
                <w:szCs w:val="24"/>
              </w:rPr>
              <w:t>свидетельских показаний.</w:t>
            </w:r>
          </w:p>
          <w:p w14:paraId="00000249">
            <w:pPr>
              <w:shd w:val="clear" w:color="auto" w:fill="ffffff"/>
              <w:ind w:left="5" w:right="5" w:firstLine="547"/>
              <w:jc w:val="both"/>
              <w:rPr>
                <w:szCs w:val="24"/>
              </w:rPr>
            </w:pPr>
            <w:r>
              <w:rPr>
                <w:spacing w:val="-1"/>
                <w:szCs w:val="24"/>
              </w:rPr>
              <w:t>Полиграф («детектор лжи»): понятие и принцип работы. Основные направ</w:t>
            </w:r>
            <w:r>
              <w:rPr>
                <w:spacing w:val="-1"/>
                <w:szCs w:val="24"/>
              </w:rPr>
              <w:softHyphen/>
            </w:r>
            <w:r>
              <w:rPr>
                <w:szCs w:val="24"/>
              </w:rPr>
              <w:t xml:space="preserve">ления использования полиграфа в ПО. Правовые основания и методы (тесты, процедуры) </w:t>
            </w:r>
            <w:r>
              <w:rPr>
                <w:szCs w:val="24"/>
              </w:rPr>
              <w:t>толиграфных</w:t>
            </w:r>
            <w:r>
              <w:rPr>
                <w:szCs w:val="24"/>
              </w:rPr>
              <w:t xml:space="preserve"> проверок.</w:t>
            </w:r>
          </w:p>
          <w:p w14:paraId="0000024A">
            <w:pPr>
              <w:shd w:val="clear" w:color="auto" w:fill="ffffff"/>
              <w:ind w:left="5" w:right="5" w:firstLine="533"/>
              <w:jc w:val="both"/>
              <w:rPr>
                <w:rFonts w:eastAsia="Calibri"/>
                <w:b/>
                <w:szCs w:val="24"/>
              </w:rPr>
            </w:pPr>
            <w:r>
              <w:rPr>
                <w:szCs w:val="24"/>
              </w:rPr>
              <w:t xml:space="preserve">Психологическое </w:t>
            </w:r>
            <w:r>
              <w:rPr>
                <w:szCs w:val="24"/>
              </w:rPr>
              <w:t>портретирование</w:t>
            </w:r>
            <w:r>
              <w:rPr>
                <w:szCs w:val="24"/>
              </w:rPr>
              <w:t xml:space="preserve"> как нетрадиционный метод раскрытия </w:t>
            </w:r>
            <w:r>
              <w:rPr>
                <w:spacing w:val="-2"/>
                <w:szCs w:val="24"/>
              </w:rPr>
              <w:t xml:space="preserve">преступлений. Методика психологического </w:t>
            </w:r>
            <w:r>
              <w:rPr>
                <w:spacing w:val="-2"/>
                <w:szCs w:val="24"/>
              </w:rPr>
              <w:t>портретирования</w:t>
            </w:r>
            <w:r>
              <w:rPr>
                <w:spacing w:val="-2"/>
                <w:szCs w:val="24"/>
              </w:rPr>
              <w:t xml:space="preserve"> неустановленного </w:t>
            </w:r>
            <w:r>
              <w:rPr>
                <w:spacing w:val="-1"/>
                <w:szCs w:val="24"/>
              </w:rPr>
              <w:t>преступника. Биографический метод изучения личности в раскрытии преступ</w:t>
            </w:r>
            <w:r>
              <w:rPr>
                <w:spacing w:val="-1"/>
                <w:szCs w:val="24"/>
              </w:rPr>
              <w:softHyphen/>
            </w:r>
            <w:r>
              <w:rPr>
                <w:szCs w:val="24"/>
              </w:rPr>
              <w:t>лений. Метод психолингвистического анализа утверждений.</w:t>
            </w:r>
          </w:p>
        </w:tc>
        <w:tc>
          <w:tcPr>
            <w:cnfStyle w:val="000000010000"/>
            <w:tcW w:w="1559" w:type="dxa"/>
            <w:tcBorders>
              <w:left w:val="single" w:color="000000" w:sz="4" w:space="0"/>
              <w:right w:val="single" w:color="000000" w:sz="4" w:space="0"/>
            </w:tcBorders>
          </w:tcPr>
          <w:p w14:paraId="0000024B">
            <w:pPr>
              <w:jc w:val="center"/>
              <w:rPr>
                <w:rFonts w:eastAsia="Calibri"/>
                <w:b/>
                <w:szCs w:val="24"/>
              </w:rPr>
            </w:pPr>
            <w:r>
              <w:rPr>
                <w:rFonts w:eastAsia="Calibri"/>
                <w:b/>
                <w:szCs w:val="24"/>
              </w:rPr>
              <w:t>2/2</w:t>
            </w:r>
          </w:p>
        </w:tc>
      </w:tr>
      <w:tr>
        <w:trPr>
          <w:trHeight w:val="52"/>
        </w:trPr>
        <w:tc>
          <w:tcPr>
            <w:cnfStyle w:val="001000100000"/>
            <w:tcW w:w="2794" w:type="dxa"/>
            <w:vMerge w:val="continue"/>
            <w:tcBorders>
              <w:left w:val="single" w:color="000000" w:sz="4" w:space="0"/>
              <w:right w:val="single" w:color="auto" w:sz="4" w:space="0"/>
            </w:tcBorders>
          </w:tcPr>
          <w:p w14:paraId="0000024C">
            <w:pPr>
              <w:jc w:val="right"/>
              <w:rPr>
                <w:rFonts w:eastAsia="Calibri"/>
                <w:b/>
                <w:szCs w:val="24"/>
              </w:rPr>
            </w:pPr>
          </w:p>
        </w:tc>
        <w:tc>
          <w:tcPr>
            <w:cnfStyle w:val="000000100000"/>
            <w:tcW w:w="4861" w:type="dxa"/>
            <w:tcBorders>
              <w:top w:val="single" w:color="000000" w:sz="4" w:space="0"/>
              <w:left w:val="single" w:color="auto" w:sz="4" w:space="0"/>
              <w:bottom w:val="single" w:color="000000" w:sz="4" w:space="0"/>
              <w:right w:val="single" w:color="000000" w:sz="4" w:space="0"/>
            </w:tcBorders>
          </w:tcPr>
          <w:p w14:paraId="0000024D">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Лабораторные работы</w:t>
            </w:r>
          </w:p>
        </w:tc>
        <w:tc>
          <w:tcPr>
            <w:cnfStyle w:val="000000100000"/>
            <w:tcW w:w="1559" w:type="dxa"/>
            <w:tcBorders>
              <w:left w:val="single" w:color="000000" w:sz="4" w:space="0"/>
              <w:right w:val="single" w:color="000000" w:sz="4" w:space="0"/>
            </w:tcBorders>
          </w:tcPr>
          <w:p w14:paraId="0000024E">
            <w:pPr>
              <w:jc w:val="center"/>
              <w:rPr>
                <w:rFonts w:eastAsia="Calibri"/>
                <w:b/>
                <w:szCs w:val="24"/>
              </w:rPr>
            </w:pPr>
          </w:p>
        </w:tc>
      </w:tr>
      <w:tr>
        <w:trPr>
          <w:trHeight w:val="52"/>
        </w:trPr>
        <w:tc>
          <w:tcPr>
            <w:cnfStyle w:val="001000010000"/>
            <w:tcW w:w="2794" w:type="dxa"/>
            <w:vMerge w:val="continue"/>
            <w:tcBorders>
              <w:left w:val="single" w:color="000000" w:sz="4" w:space="0"/>
              <w:right w:val="single" w:color="auto" w:sz="4" w:space="0"/>
            </w:tcBorders>
          </w:tcPr>
          <w:p w14:paraId="0000024F">
            <w:pPr>
              <w:jc w:val="right"/>
              <w:rPr>
                <w:rFonts w:eastAsia="Calibri"/>
                <w:b/>
                <w:szCs w:val="24"/>
              </w:rPr>
            </w:pPr>
          </w:p>
        </w:tc>
        <w:tc>
          <w:tcPr>
            <w:cnfStyle w:val="000000010000"/>
            <w:tcW w:w="4861" w:type="dxa"/>
            <w:tcBorders>
              <w:top w:val="single" w:color="000000" w:sz="4" w:space="0"/>
              <w:left w:val="single" w:color="auto" w:sz="4" w:space="0"/>
              <w:bottom w:val="single" w:color="000000" w:sz="4" w:space="0"/>
              <w:right w:val="single" w:color="000000" w:sz="4" w:space="0"/>
            </w:tcBorders>
          </w:tcPr>
          <w:p w14:paraId="00000250">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Практические занятия</w:t>
            </w:r>
          </w:p>
        </w:tc>
        <w:tc>
          <w:tcPr>
            <w:cnfStyle w:val="000000010000"/>
            <w:tcW w:w="1559" w:type="dxa"/>
            <w:tcBorders>
              <w:left w:val="single" w:color="000000" w:sz="4" w:space="0"/>
              <w:right w:val="single" w:color="000000" w:sz="4" w:space="0"/>
            </w:tcBorders>
          </w:tcPr>
          <w:p w14:paraId="00000251">
            <w:pPr>
              <w:jc w:val="center"/>
              <w:rPr>
                <w:rFonts w:eastAsia="Calibri"/>
                <w:b/>
                <w:szCs w:val="24"/>
              </w:rPr>
            </w:pPr>
            <w:r>
              <w:rPr>
                <w:rFonts w:eastAsia="Calibri"/>
                <w:b/>
                <w:szCs w:val="24"/>
              </w:rPr>
              <w:t>2</w:t>
            </w:r>
          </w:p>
        </w:tc>
      </w:tr>
      <w:tr>
        <w:trPr>
          <w:trHeight w:val="52"/>
        </w:trPr>
        <w:tc>
          <w:tcPr>
            <w:cnfStyle w:val="001000100000"/>
            <w:tcW w:w="2794" w:type="dxa"/>
            <w:vMerge w:val="continue"/>
            <w:tcBorders>
              <w:left w:val="single" w:color="000000" w:sz="4" w:space="0"/>
              <w:right w:val="single" w:color="auto" w:sz="4" w:space="0"/>
            </w:tcBorders>
          </w:tcPr>
          <w:p w14:paraId="00000252">
            <w:pPr>
              <w:jc w:val="right"/>
              <w:rPr>
                <w:rFonts w:eastAsia="Calibri"/>
                <w:b/>
                <w:szCs w:val="24"/>
              </w:rPr>
            </w:pPr>
          </w:p>
        </w:tc>
        <w:tc>
          <w:tcPr>
            <w:cnfStyle w:val="000000100000"/>
            <w:tcW w:w="4861" w:type="dxa"/>
            <w:tcBorders>
              <w:top w:val="single" w:color="000000" w:sz="4" w:space="0"/>
              <w:left w:val="single" w:color="auto" w:sz="4" w:space="0"/>
              <w:bottom w:val="single" w:color="000000" w:sz="4" w:space="0"/>
              <w:right w:val="single" w:color="000000" w:sz="4" w:space="0"/>
            </w:tcBorders>
          </w:tcPr>
          <w:p w14:paraId="00000253">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Контрольные работы</w:t>
            </w:r>
          </w:p>
        </w:tc>
        <w:tc>
          <w:tcPr>
            <w:cnfStyle w:val="000000100000"/>
            <w:tcW w:w="1559" w:type="dxa"/>
            <w:tcBorders>
              <w:left w:val="single" w:color="000000" w:sz="4" w:space="0"/>
              <w:right w:val="single" w:color="000000" w:sz="4" w:space="0"/>
            </w:tcBorders>
          </w:tcPr>
          <w:p w14:paraId="00000254">
            <w:pPr>
              <w:jc w:val="center"/>
              <w:rPr>
                <w:rFonts w:eastAsia="Calibri"/>
                <w:b/>
                <w:szCs w:val="24"/>
              </w:rPr>
            </w:pPr>
          </w:p>
        </w:tc>
      </w:tr>
      <w:tr>
        <w:trPr>
          <w:trHeight w:val="52"/>
        </w:trPr>
        <w:tc>
          <w:tcPr>
            <w:cnfStyle w:val="001000010000"/>
            <w:tcW w:w="2794" w:type="dxa"/>
            <w:vMerge w:val="continue"/>
            <w:tcBorders>
              <w:left w:val="single" w:color="000000" w:sz="4" w:space="0"/>
              <w:bottom w:val="single" w:color="000000" w:sz="4" w:space="0"/>
              <w:right w:val="single" w:color="auto" w:sz="4" w:space="0"/>
            </w:tcBorders>
          </w:tcPr>
          <w:p w14:paraId="00000255">
            <w:pPr>
              <w:jc w:val="right"/>
              <w:rPr>
                <w:rFonts w:eastAsia="Calibri"/>
                <w:b/>
                <w:szCs w:val="24"/>
              </w:rPr>
            </w:pPr>
          </w:p>
        </w:tc>
        <w:tc>
          <w:tcPr>
            <w:cnfStyle w:val="000000010000"/>
            <w:tcW w:w="4861" w:type="dxa"/>
            <w:tcBorders>
              <w:top w:val="single" w:color="000000" w:sz="4" w:space="0"/>
              <w:left w:val="single" w:color="auto" w:sz="4" w:space="0"/>
              <w:bottom w:val="single" w:color="000000" w:sz="4" w:space="0"/>
              <w:right w:val="single" w:color="000000" w:sz="4" w:space="0"/>
            </w:tcBorders>
          </w:tcPr>
          <w:p w14:paraId="00000256">
            <w:pPr>
              <w:pStyle w:val="NoSpacing"/>
              <w:jc w:val="both"/>
              <w:rPr>
                <w:rFonts w:ascii="Times New Roman" w:eastAsia="Calibri" w:hAnsi="Times New Roman"/>
                <w:sz w:val="24"/>
                <w:szCs w:val="24"/>
                <w:lang w:eastAsia="en-US"/>
              </w:rPr>
            </w:pPr>
            <w:r>
              <w:rPr>
                <w:rFonts w:ascii="Times New Roman" w:eastAsia="Calibri" w:hAnsi="Times New Roman"/>
                <w:sz w:val="24"/>
                <w:szCs w:val="24"/>
                <w:lang w:eastAsia="en-US"/>
              </w:rPr>
              <w:t>Самостоятельная работа обучающихся</w:t>
            </w:r>
          </w:p>
        </w:tc>
        <w:tc>
          <w:tcPr>
            <w:cnfStyle w:val="000000010000"/>
            <w:tcW w:w="1559" w:type="dxa"/>
            <w:tcBorders>
              <w:left w:val="single" w:color="000000" w:sz="4" w:space="0"/>
              <w:bottom w:val="single" w:color="000000" w:sz="4" w:space="0"/>
              <w:right w:val="single" w:color="000000" w:sz="4" w:space="0"/>
            </w:tcBorders>
          </w:tcPr>
          <w:p w14:paraId="00000257">
            <w:pPr>
              <w:jc w:val="center"/>
              <w:rPr>
                <w:rFonts w:eastAsia="Calibri"/>
                <w:b/>
                <w:szCs w:val="24"/>
              </w:rPr>
            </w:pPr>
            <w:r>
              <w:rPr>
                <w:rFonts w:eastAsia="Calibri"/>
                <w:b/>
                <w:szCs w:val="24"/>
              </w:rPr>
              <w:t>2</w:t>
            </w:r>
          </w:p>
        </w:tc>
      </w:tr>
      <w:tr>
        <w:trPr/>
        <w:tc>
          <w:tcPr>
            <w:cnfStyle w:val="001000100000"/>
            <w:tcW w:w="7655" w:type="dxa"/>
            <w:gridSpan w:val="2"/>
            <w:tcBorders>
              <w:top w:val="single" w:color="000000" w:sz="4" w:space="0"/>
              <w:left w:val="single" w:color="000000" w:sz="4" w:space="0"/>
              <w:bottom w:val="single" w:color="000000" w:sz="4" w:space="0"/>
              <w:right w:val="single" w:color="000000" w:sz="4" w:space="0"/>
            </w:tcBorders>
          </w:tcPr>
          <w:p w14:paraId="00000258">
            <w:pPr>
              <w:jc w:val="right"/>
              <w:rPr>
                <w:rFonts w:eastAsia="Calibri"/>
                <w:b/>
                <w:szCs w:val="24"/>
              </w:rPr>
            </w:pPr>
            <w:r>
              <w:rPr>
                <w:rFonts w:eastAsia="Calibri"/>
                <w:b/>
                <w:szCs w:val="24"/>
              </w:rPr>
              <w:t>Всего:</w:t>
            </w:r>
          </w:p>
        </w:tc>
        <w:tc>
          <w:tcPr>
            <w:cnfStyle w:val="000000100000"/>
            <w:tcW w:w="1559" w:type="dxa"/>
            <w:tcBorders>
              <w:top w:val="single" w:color="000000" w:sz="4" w:space="0"/>
              <w:left w:val="single" w:color="000000" w:sz="4" w:space="0"/>
              <w:bottom w:val="single" w:color="000000" w:sz="4" w:space="0"/>
              <w:right w:val="single" w:color="000000" w:sz="4" w:space="0"/>
            </w:tcBorders>
          </w:tcPr>
          <w:p w14:paraId="00000259">
            <w:pPr>
              <w:jc w:val="center"/>
              <w:rPr>
                <w:rFonts w:eastAsia="Calibri"/>
                <w:b/>
                <w:szCs w:val="24"/>
              </w:rPr>
            </w:pPr>
            <w:r>
              <w:rPr>
                <w:rFonts w:eastAsia="Calibri"/>
                <w:b/>
                <w:szCs w:val="24"/>
              </w:rPr>
              <w:t>72</w:t>
            </w:r>
          </w:p>
        </w:tc>
      </w:tr>
    </w:tbl>
    <w:p w14:paraId="0000025A">
      <w:pPr>
        <w:pStyle w:val="Normal(Web)"/>
        <w:rPr>
          <w:lang w:eastAsia="nl-NL"/>
        </w:rPr>
      </w:pPr>
    </w:p>
    <w:p w14:paraId="0000025B">
      <w:pPr>
        <w:pStyle w:val="Normal(Web)"/>
        <w:rPr>
          <w:lang w:eastAsia="nl-NL"/>
        </w:rPr>
      </w:pPr>
    </w:p>
    <w:p w14:paraId="0000025C">
      <w:pPr>
        <w:ind w:left="1080"/>
        <w:rPr>
          <w:b/>
          <w:szCs w:val="24"/>
        </w:rPr>
      </w:pPr>
      <w:r>
        <w:rPr>
          <w:b/>
          <w:szCs w:val="24"/>
        </w:rPr>
        <w:t>3.УСЛОВИЯ РЕАЛИЗАЦИИ ПРОГРАММЫ ДИСЦИПЛИНЫ</w:t>
      </w:r>
    </w:p>
    <w:p w14:paraId="0000025D">
      <w:pPr>
        <w:jc w:val="center"/>
        <w:rPr>
          <w:b/>
          <w:szCs w:val="24"/>
        </w:rPr>
      </w:pPr>
      <w:r>
        <w:rPr>
          <w:b/>
          <w:szCs w:val="24"/>
        </w:rPr>
        <w:t>3.1. Требования к минимальному материально-техническому обеспечению</w:t>
      </w:r>
    </w:p>
    <w:p w14:paraId="0000025E">
      <w:pPr>
        <w:ind w:firstLine="720"/>
        <w:jc w:val="both"/>
        <w:rPr>
          <w:bCs/>
          <w:szCs w:val="24"/>
        </w:rPr>
      </w:pPr>
      <w:r>
        <w:rPr>
          <w:bCs/>
          <w:szCs w:val="24"/>
        </w:rPr>
        <w:t>Учебная аудитория для проведения учебных занятий по дисциплине «</w:t>
      </w:r>
      <w:r>
        <w:rPr>
          <w:bCs/>
          <w:szCs w:val="24"/>
        </w:rPr>
        <w:t>Этика и психология профессиональной деятельности</w:t>
      </w:r>
      <w:r>
        <w:rPr>
          <w:bCs/>
          <w:szCs w:val="24"/>
        </w:rPr>
        <w:t>», предусмотренная образовательной программой, оснащена мультимедийным оборудованием (проектор, экран), техническими средствами обучения.</w:t>
      </w:r>
    </w:p>
    <w:p w14:paraId="000002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szCs w:val="24"/>
        </w:rPr>
      </w:pPr>
    </w:p>
    <w:p w14:paraId="00000260">
      <w:pPr>
        <w:pStyle w:val="Heading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left"/>
        <w:rPr>
          <w:bCs w:val="off"/>
        </w:rPr>
      </w:pPr>
      <w:r>
        <w:rPr>
          <w:bCs w:val="off"/>
        </w:rPr>
        <w:t>3.2. Информационное обеспечение обучения</w:t>
      </w:r>
    </w:p>
    <w:p w14:paraId="00000261">
      <w:pPr>
        <w:ind w:firstLine="709"/>
        <w:jc w:val="both"/>
        <w:rPr>
          <w:bCs/>
          <w:szCs w:val="24"/>
        </w:rPr>
      </w:pPr>
      <w:r>
        <w:rPr>
          <w:bCs/>
          <w:szCs w:val="24"/>
        </w:rPr>
        <w:t>Для реализации программы библиотечный фонд укомплектован печатными и (или) электронными образовательными и информационными ресурсами, рекомендованными для использования в образовательном процессе.</w:t>
      </w:r>
    </w:p>
    <w:p w14:paraId="00000262">
      <w:pPr>
        <w:ind w:left="1440"/>
        <w:jc w:val="center"/>
        <w:rPr>
          <w:szCs w:val="24"/>
        </w:rPr>
      </w:pPr>
    </w:p>
    <w:p w14:paraId="00000263">
      <w:pPr>
        <w:ind w:left="567"/>
        <w:jc w:val="center"/>
        <w:rPr>
          <w:b/>
          <w:szCs w:val="24"/>
        </w:rPr>
      </w:pPr>
      <w:r>
        <w:rPr>
          <w:b/>
          <w:szCs w:val="24"/>
        </w:rPr>
        <w:t xml:space="preserve">3.3. </w:t>
      </w:r>
      <w:r>
        <w:rPr>
          <w:b/>
          <w:szCs w:val="24"/>
        </w:rPr>
        <w:t xml:space="preserve">Перечень рекомендуемой основной и дополнительной литературы, </w:t>
      </w:r>
      <w:r>
        <w:rPr>
          <w:b/>
          <w:szCs w:val="24"/>
        </w:rPr>
        <w:t>интернет-ресурсов</w:t>
      </w:r>
      <w:r>
        <w:rPr>
          <w:b/>
          <w:szCs w:val="24"/>
        </w:rPr>
        <w:t>, необходимых для освоения дисциплины</w:t>
      </w:r>
    </w:p>
    <w:p w14:paraId="00000264">
      <w:pPr>
        <w:jc w:val="center"/>
        <w:rPr>
          <w:szCs w:val="24"/>
        </w:rPr>
      </w:pPr>
    </w:p>
    <w:p w14:paraId="00000265">
      <w:pPr>
        <w:pStyle w:val="NoSpacing"/>
        <w:jc w:val="both"/>
        <w:rPr>
          <w:rFonts w:ascii="Times New Roman" w:hAnsi="Times New Roman"/>
          <w:sz w:val="24"/>
          <w:szCs w:val="24"/>
        </w:rPr>
      </w:pPr>
      <w:r>
        <w:rPr>
          <w:rFonts w:ascii="Times New Roman" w:hAnsi="Times New Roman"/>
          <w:sz w:val="24"/>
          <w:szCs w:val="24"/>
        </w:rPr>
        <w:t xml:space="preserve">Основные источники: </w:t>
      </w:r>
    </w:p>
    <w:p w14:paraId="00000266">
      <w:pPr>
        <w:numPr>
          <w:ilvl w:val="0"/>
          <w:numId w:val="6"/>
        </w:numPr>
        <w:ind w:left="0" w:firstLine="0"/>
        <w:rPr>
          <w:szCs w:val="24"/>
        </w:rPr>
      </w:pPr>
      <w:r>
        <w:rPr>
          <w:szCs w:val="24"/>
        </w:rPr>
        <w:t xml:space="preserve">Профессиональная этика и служебный </w:t>
      </w:r>
      <w:r>
        <w:rPr>
          <w:szCs w:val="24"/>
        </w:rPr>
        <w:t>этикет :</w:t>
      </w:r>
      <w:r>
        <w:rPr>
          <w:szCs w:val="24"/>
        </w:rPr>
        <w:t xml:space="preserve"> учебник / под ред. В.Я. </w:t>
      </w:r>
      <w:r>
        <w:rPr>
          <w:szCs w:val="24"/>
        </w:rPr>
        <w:t>Кикотя</w:t>
      </w:r>
      <w:r>
        <w:rPr>
          <w:szCs w:val="24"/>
        </w:rPr>
        <w:t xml:space="preserve">. - </w:t>
      </w:r>
      <w:r>
        <w:rPr>
          <w:szCs w:val="24"/>
        </w:rPr>
        <w:t>М. :</w:t>
      </w:r>
      <w:r>
        <w:rPr>
          <w:szCs w:val="24"/>
        </w:rPr>
        <w:t xml:space="preserve"> </w:t>
      </w:r>
      <w:r>
        <w:rPr>
          <w:szCs w:val="24"/>
        </w:rPr>
        <w:t>Юнити</w:t>
      </w:r>
      <w:r>
        <w:rPr>
          <w:szCs w:val="24"/>
        </w:rPr>
        <w:t xml:space="preserve"> -Дана, 20</w:t>
      </w:r>
      <w:r>
        <w:rPr>
          <w:szCs w:val="24"/>
        </w:rPr>
        <w:t>25</w:t>
      </w:r>
      <w:r>
        <w:rPr>
          <w:szCs w:val="24"/>
        </w:rPr>
        <w:t xml:space="preserve">. - 559 с. – [электронный </w:t>
      </w:r>
      <w:r>
        <w:rPr>
          <w:szCs w:val="24"/>
        </w:rPr>
        <w:t>ресурс ]</w:t>
      </w:r>
      <w:r>
        <w:rPr>
          <w:szCs w:val="24"/>
        </w:rPr>
        <w:t xml:space="preserve"> ( ЭБС «Университетская библиотека») URL: http://biblioclub.ru/index.php?page=book&amp;id=117054.</w:t>
      </w:r>
    </w:p>
    <w:p w14:paraId="00000267">
      <w:pPr>
        <w:numPr>
          <w:ilvl w:val="0"/>
          <w:numId w:val="6"/>
        </w:numPr>
        <w:ind w:left="0" w:firstLine="0"/>
        <w:jc w:val="both"/>
        <w:rPr>
          <w:szCs w:val="24"/>
        </w:rPr>
      </w:pPr>
      <w:r>
        <w:rPr>
          <w:szCs w:val="24"/>
        </w:rPr>
        <w:t xml:space="preserve">Дмитриева, Л.А. Психология профессионального общения в следственной деятельности [Электронный ресурс]: учебное пособие / Л.А. Дмитриева; Акад. Следственного комитета Р Ф. – М.: </w:t>
      </w:r>
      <w:r>
        <w:rPr>
          <w:szCs w:val="24"/>
        </w:rPr>
        <w:t>Юнити</w:t>
      </w:r>
      <w:r>
        <w:rPr>
          <w:szCs w:val="24"/>
        </w:rPr>
        <w:t>-Дана, 20</w:t>
      </w:r>
      <w:r>
        <w:rPr>
          <w:szCs w:val="24"/>
        </w:rPr>
        <w:t>2</w:t>
      </w:r>
      <w:r>
        <w:rPr>
          <w:szCs w:val="24"/>
        </w:rPr>
        <w:t>5. – 191 с. – ЭБС «</w:t>
      </w:r>
      <w:r>
        <w:rPr>
          <w:szCs w:val="24"/>
        </w:rPr>
        <w:t>Университ</w:t>
      </w:r>
      <w:r>
        <w:rPr>
          <w:szCs w:val="24"/>
        </w:rPr>
        <w:t>. библиотека онлайн». – URL: http://biblioclub.ru/index.php?page=book&amp;id=426521</w:t>
      </w:r>
    </w:p>
    <w:p w14:paraId="00000268">
      <w:pPr>
        <w:numPr>
          <w:ilvl w:val="0"/>
          <w:numId w:val="6"/>
        </w:numPr>
        <w:ind w:left="0" w:firstLine="0"/>
        <w:jc w:val="both"/>
        <w:rPr>
          <w:szCs w:val="24"/>
        </w:rPr>
      </w:pPr>
      <w:r>
        <w:rPr>
          <w:szCs w:val="24"/>
        </w:rPr>
        <w:t>Рогозина, Т.И. Юридическая психология: учебно-методическое пособие для студентов (краткий курс лекций): учебное пособие / Т.И.</w:t>
      </w:r>
      <w:r>
        <w:rPr>
          <w:szCs w:val="24"/>
          <w:lang w:val="en-US"/>
        </w:rPr>
        <w:t> </w:t>
      </w:r>
      <w:r>
        <w:rPr>
          <w:szCs w:val="24"/>
        </w:rPr>
        <w:t>Рогозина; Частное образовательное учреждение высшего профессионального образования «Омская юридическая академия». – Омск: Омская юридическая академия, 20</w:t>
      </w:r>
      <w:r>
        <w:rPr>
          <w:szCs w:val="24"/>
        </w:rPr>
        <w:t>2</w:t>
      </w:r>
      <w:r>
        <w:rPr>
          <w:szCs w:val="24"/>
        </w:rPr>
        <w:t>3. – 84 с.</w:t>
      </w:r>
      <w:r>
        <w:rPr>
          <w:szCs w:val="24"/>
        </w:rPr>
        <w:t>; То</w:t>
      </w:r>
      <w:r>
        <w:rPr>
          <w:szCs w:val="24"/>
        </w:rPr>
        <w:t xml:space="preserve"> же [Электронный ресурс]. – </w:t>
      </w:r>
      <w:r>
        <w:rPr>
          <w:szCs w:val="24"/>
          <w:lang w:val="en-US"/>
        </w:rPr>
        <w:t>URL</w:t>
      </w:r>
      <w:r>
        <w:rPr>
          <w:szCs w:val="24"/>
        </w:rPr>
        <w:t>: //</w:t>
      </w:r>
      <w:r>
        <w:rPr>
          <w:szCs w:val="24"/>
          <w:lang w:val="en-US"/>
        </w:rPr>
        <w:t>biblioclub</w:t>
      </w:r>
      <w:r>
        <w:rPr>
          <w:szCs w:val="24"/>
        </w:rPr>
        <w:t>.</w:t>
      </w:r>
      <w:r>
        <w:rPr>
          <w:szCs w:val="24"/>
          <w:lang w:val="en-US"/>
        </w:rPr>
        <w:t>ru</w:t>
      </w:r>
      <w:r>
        <w:rPr>
          <w:szCs w:val="24"/>
        </w:rPr>
        <w:t>/</w:t>
      </w:r>
      <w:r>
        <w:rPr>
          <w:szCs w:val="24"/>
          <w:lang w:val="en-US"/>
        </w:rPr>
        <w:t>index</w:t>
      </w:r>
      <w:r>
        <w:rPr>
          <w:szCs w:val="24"/>
        </w:rPr>
        <w:t>.</w:t>
      </w:r>
      <w:r>
        <w:rPr>
          <w:szCs w:val="24"/>
          <w:lang w:val="en-US"/>
        </w:rPr>
        <w:t>php</w:t>
      </w:r>
      <w:r>
        <w:rPr>
          <w:szCs w:val="24"/>
        </w:rPr>
        <w:t>?</w:t>
      </w:r>
      <w:r>
        <w:rPr>
          <w:szCs w:val="24"/>
          <w:lang w:val="en-US"/>
        </w:rPr>
        <w:t>page</w:t>
      </w:r>
      <w:r>
        <w:rPr>
          <w:szCs w:val="24"/>
        </w:rPr>
        <w:t>=</w:t>
      </w:r>
      <w:r>
        <w:rPr>
          <w:szCs w:val="24"/>
          <w:lang w:val="en-US"/>
        </w:rPr>
        <w:t>book</w:t>
      </w:r>
      <w:r>
        <w:rPr>
          <w:szCs w:val="24"/>
        </w:rPr>
        <w:t>&amp;</w:t>
      </w:r>
      <w:r>
        <w:rPr>
          <w:szCs w:val="24"/>
          <w:lang w:val="en-US"/>
        </w:rPr>
        <w:t>id</w:t>
      </w:r>
      <w:r>
        <w:rPr>
          <w:szCs w:val="24"/>
        </w:rPr>
        <w:t>=375164.</w:t>
      </w:r>
    </w:p>
    <w:p w14:paraId="00000269">
      <w:pPr>
        <w:numPr>
          <w:ilvl w:val="0"/>
          <w:numId w:val="6"/>
        </w:numPr>
        <w:ind w:left="0" w:firstLine="0"/>
        <w:jc w:val="both"/>
        <w:rPr>
          <w:szCs w:val="24"/>
        </w:rPr>
      </w:pPr>
      <w:r>
        <w:rPr>
          <w:szCs w:val="24"/>
        </w:rPr>
        <w:t>Шевченко, В.М. Юридическая психология: учебное пособие / В.М.</w:t>
      </w:r>
      <w:r>
        <w:rPr>
          <w:szCs w:val="24"/>
          <w:lang w:val="en-US"/>
        </w:rPr>
        <w:t> </w:t>
      </w:r>
      <w:r>
        <w:rPr>
          <w:szCs w:val="24"/>
        </w:rPr>
        <w:t xml:space="preserve">Шевченко. – М.: </w:t>
      </w:r>
      <w:r>
        <w:rPr>
          <w:szCs w:val="24"/>
        </w:rPr>
        <w:t>Юнити</w:t>
      </w:r>
      <w:r>
        <w:rPr>
          <w:szCs w:val="24"/>
        </w:rPr>
        <w:t>-Дана, 20</w:t>
      </w:r>
      <w:r>
        <w:rPr>
          <w:szCs w:val="24"/>
        </w:rPr>
        <w:t>24</w:t>
      </w:r>
      <w:r>
        <w:rPr>
          <w:szCs w:val="24"/>
        </w:rPr>
        <w:t xml:space="preserve">. – 287 с. – </w:t>
      </w:r>
      <w:r>
        <w:rPr>
          <w:szCs w:val="24"/>
        </w:rPr>
        <w:t>Библиогр</w:t>
      </w:r>
      <w:r>
        <w:rPr>
          <w:szCs w:val="24"/>
        </w:rPr>
        <w:t xml:space="preserve">. в кн. – </w:t>
      </w:r>
      <w:r>
        <w:rPr>
          <w:szCs w:val="24"/>
          <w:lang w:val="en-US"/>
        </w:rPr>
        <w:t>ISBN</w:t>
      </w:r>
      <w:r>
        <w:rPr>
          <w:szCs w:val="24"/>
        </w:rPr>
        <w:t xml:space="preserve"> 978-5-238-02630-5</w:t>
      </w:r>
      <w:r>
        <w:rPr>
          <w:szCs w:val="24"/>
        </w:rPr>
        <w:t>; То</w:t>
      </w:r>
      <w:r>
        <w:rPr>
          <w:szCs w:val="24"/>
        </w:rPr>
        <w:t xml:space="preserve"> же [Электронный ресурс]</w:t>
      </w:r>
    </w:p>
    <w:p w14:paraId="0000026A">
      <w:pPr>
        <w:ind w:left="1080"/>
        <w:jc w:val="both"/>
        <w:rPr>
          <w:szCs w:val="24"/>
        </w:rPr>
      </w:pPr>
    </w:p>
    <w:p w14:paraId="0000026B">
      <w:pPr>
        <w:pStyle w:val="NoSpacing"/>
        <w:jc w:val="both"/>
        <w:rPr>
          <w:rFonts w:ascii="Times New Roman" w:hAnsi="Times New Roman"/>
          <w:sz w:val="24"/>
          <w:szCs w:val="24"/>
        </w:rPr>
      </w:pPr>
      <w:r>
        <w:rPr>
          <w:rFonts w:ascii="Times New Roman" w:hAnsi="Times New Roman"/>
          <w:sz w:val="24"/>
          <w:szCs w:val="24"/>
        </w:rPr>
        <w:t>Дополнительные источники:</w:t>
      </w:r>
    </w:p>
    <w:p w14:paraId="0000026C">
      <w:pPr>
        <w:numPr>
          <w:ilvl w:val="0"/>
          <w:numId w:val="8"/>
        </w:numPr>
        <w:ind w:left="0" w:firstLine="0"/>
        <w:jc w:val="both"/>
        <w:rPr>
          <w:szCs w:val="24"/>
        </w:rPr>
      </w:pPr>
      <w:r>
        <w:rPr>
          <w:szCs w:val="24"/>
        </w:rPr>
        <w:t>Ахмедшин</w:t>
      </w:r>
      <w:r>
        <w:rPr>
          <w:szCs w:val="24"/>
        </w:rPr>
        <w:t>, Р.Л. Юридическая психология: курс лекций / Р.Л.</w:t>
      </w:r>
      <w:r>
        <w:rPr>
          <w:szCs w:val="24"/>
          <w:lang w:val="en-US"/>
        </w:rPr>
        <w:t> </w:t>
      </w:r>
      <w:r>
        <w:rPr>
          <w:szCs w:val="24"/>
        </w:rPr>
        <w:t>Ахмедшин</w:t>
      </w:r>
      <w:r>
        <w:rPr>
          <w:szCs w:val="24"/>
        </w:rPr>
        <w:t>; Министерство образования и науки Российской Федерации, Томский Государственный Университет Систем Управления и Радиоэлектроники (ТУСУР). – Томск: Эль Контент, 20</w:t>
      </w:r>
      <w:r>
        <w:rPr>
          <w:szCs w:val="24"/>
        </w:rPr>
        <w:t>24</w:t>
      </w:r>
      <w:r>
        <w:rPr>
          <w:szCs w:val="24"/>
        </w:rPr>
        <w:t xml:space="preserve">. – 228 с. - </w:t>
      </w:r>
      <w:r>
        <w:rPr>
          <w:szCs w:val="24"/>
          <w:lang w:val="en-US"/>
        </w:rPr>
        <w:t>ISBN</w:t>
      </w:r>
      <w:r>
        <w:rPr>
          <w:szCs w:val="24"/>
        </w:rPr>
        <w:t xml:space="preserve"> 978-5-4332-0006-7</w:t>
      </w:r>
      <w:r>
        <w:rPr>
          <w:szCs w:val="24"/>
        </w:rPr>
        <w:t>; То</w:t>
      </w:r>
      <w:r>
        <w:rPr>
          <w:szCs w:val="24"/>
        </w:rPr>
        <w:t xml:space="preserve"> же [Электронный ресурс]. – </w:t>
      </w:r>
      <w:r>
        <w:rPr>
          <w:szCs w:val="24"/>
          <w:lang w:val="en-US"/>
        </w:rPr>
        <w:t>URL</w:t>
      </w:r>
      <w:r>
        <w:rPr>
          <w:szCs w:val="24"/>
        </w:rPr>
        <w:t>: //</w:t>
      </w:r>
      <w:r>
        <w:rPr>
          <w:szCs w:val="24"/>
          <w:lang w:val="en-US"/>
        </w:rPr>
        <w:t>biblioclub</w:t>
      </w:r>
      <w:r>
        <w:rPr>
          <w:szCs w:val="24"/>
        </w:rPr>
        <w:t>.</w:t>
      </w:r>
      <w:r>
        <w:rPr>
          <w:szCs w:val="24"/>
          <w:lang w:val="en-US"/>
        </w:rPr>
        <w:t>ru</w:t>
      </w:r>
      <w:r>
        <w:rPr>
          <w:szCs w:val="24"/>
        </w:rPr>
        <w:t>/</w:t>
      </w:r>
      <w:r>
        <w:rPr>
          <w:szCs w:val="24"/>
          <w:lang w:val="en-US"/>
        </w:rPr>
        <w:t>index</w:t>
      </w:r>
      <w:r>
        <w:rPr>
          <w:szCs w:val="24"/>
        </w:rPr>
        <w:t>.</w:t>
      </w:r>
      <w:r>
        <w:rPr>
          <w:szCs w:val="24"/>
          <w:lang w:val="en-US"/>
        </w:rPr>
        <w:t>php</w:t>
      </w:r>
      <w:r>
        <w:rPr>
          <w:szCs w:val="24"/>
        </w:rPr>
        <w:t>?</w:t>
      </w:r>
      <w:r>
        <w:rPr>
          <w:szCs w:val="24"/>
          <w:lang w:val="en-US"/>
        </w:rPr>
        <w:t>page</w:t>
      </w:r>
      <w:r>
        <w:rPr>
          <w:szCs w:val="24"/>
        </w:rPr>
        <w:t>=</w:t>
      </w:r>
      <w:r>
        <w:rPr>
          <w:szCs w:val="24"/>
          <w:lang w:val="en-US"/>
        </w:rPr>
        <w:t>book</w:t>
      </w:r>
      <w:r>
        <w:rPr>
          <w:szCs w:val="24"/>
        </w:rPr>
        <w:t>&amp;</w:t>
      </w:r>
      <w:r>
        <w:rPr>
          <w:szCs w:val="24"/>
          <w:lang w:val="en-US"/>
        </w:rPr>
        <w:t>id</w:t>
      </w:r>
      <w:r>
        <w:rPr>
          <w:szCs w:val="24"/>
        </w:rPr>
        <w:t>=208642</w:t>
      </w:r>
      <w:r>
        <w:rPr>
          <w:szCs w:val="24"/>
        </w:rPr>
        <w:t>/</w:t>
      </w:r>
    </w:p>
    <w:p w14:paraId="0000026D">
      <w:pPr>
        <w:numPr>
          <w:ilvl w:val="0"/>
          <w:numId w:val="8"/>
        </w:numPr>
        <w:ind w:left="0" w:firstLine="0"/>
        <w:jc w:val="both"/>
        <w:rPr>
          <w:szCs w:val="24"/>
        </w:rPr>
      </w:pPr>
      <w:r>
        <w:rPr>
          <w:szCs w:val="24"/>
        </w:rPr>
        <w:t xml:space="preserve">Нагаев, В.В. Основы судебно-психологической экспертизы [Электронный ресурс]: учебное пособие / В.В. Нагаев. – 2-е изд., </w:t>
      </w:r>
      <w:r>
        <w:rPr>
          <w:szCs w:val="24"/>
        </w:rPr>
        <w:t>перераб</w:t>
      </w:r>
      <w:r>
        <w:rPr>
          <w:szCs w:val="24"/>
        </w:rPr>
        <w:t>.</w:t>
      </w:r>
      <w:r>
        <w:rPr>
          <w:szCs w:val="24"/>
        </w:rPr>
        <w:t xml:space="preserve"> и доп. – М.: </w:t>
      </w:r>
      <w:r>
        <w:rPr>
          <w:szCs w:val="24"/>
        </w:rPr>
        <w:t>Юнити</w:t>
      </w:r>
      <w:r>
        <w:rPr>
          <w:szCs w:val="24"/>
        </w:rPr>
        <w:t>-Дана, 20</w:t>
      </w:r>
      <w:r>
        <w:rPr>
          <w:szCs w:val="24"/>
        </w:rPr>
        <w:t>2</w:t>
      </w:r>
      <w:r>
        <w:rPr>
          <w:szCs w:val="24"/>
        </w:rPr>
        <w:t xml:space="preserve">5. – 431 с. – </w:t>
      </w:r>
      <w:r>
        <w:rPr>
          <w:szCs w:val="24"/>
        </w:rPr>
        <w:t>Библиогр</w:t>
      </w:r>
      <w:r>
        <w:rPr>
          <w:szCs w:val="24"/>
        </w:rPr>
        <w:t>. в кн. – ISBN 5-238-00475-3. – URL: http://biblioclub.ru/index.php?page=book&amp;id=114489.</w:t>
      </w:r>
    </w:p>
    <w:p w14:paraId="0000026E">
      <w:pPr>
        <w:numPr>
          <w:ilvl w:val="0"/>
          <w:numId w:val="8"/>
        </w:numPr>
        <w:ind w:left="0" w:firstLine="0"/>
        <w:jc w:val="both"/>
        <w:rPr>
          <w:szCs w:val="24"/>
        </w:rPr>
      </w:pPr>
      <w:r>
        <w:rPr>
          <w:szCs w:val="24"/>
        </w:rPr>
        <w:t xml:space="preserve">Смирнов, В.Н. Психология в деятельности сотрудников правоохранительных органов [Электронный ресурс]: учебное пособие / В.Н. Смирнов, Е.В. Петухов. – М.: </w:t>
      </w:r>
      <w:r>
        <w:rPr>
          <w:szCs w:val="24"/>
        </w:rPr>
        <w:t>Юнити</w:t>
      </w:r>
      <w:r>
        <w:rPr>
          <w:szCs w:val="24"/>
        </w:rPr>
        <w:t>-Дана, 20</w:t>
      </w:r>
      <w:r>
        <w:rPr>
          <w:szCs w:val="24"/>
        </w:rPr>
        <w:t>24</w:t>
      </w:r>
      <w:r>
        <w:rPr>
          <w:szCs w:val="24"/>
        </w:rPr>
        <w:t xml:space="preserve">. – 207 с. – </w:t>
      </w:r>
      <w:r>
        <w:rPr>
          <w:szCs w:val="24"/>
        </w:rPr>
        <w:t>Библиогр</w:t>
      </w:r>
      <w:r>
        <w:rPr>
          <w:szCs w:val="24"/>
        </w:rPr>
        <w:t>.: с. 179-186. – ISBN 978-5-238-01785-3. – URL: http://biblioclub.ru/index.php?page=book&amp;id=117074</w:t>
      </w:r>
      <w:r>
        <w:rPr>
          <w:szCs w:val="24"/>
        </w:rPr>
        <w:t>/</w:t>
      </w:r>
    </w:p>
    <w:p w14:paraId="0000026F">
      <w:pPr>
        <w:numPr>
          <w:ilvl w:val="0"/>
          <w:numId w:val="8"/>
        </w:numPr>
        <w:ind w:left="0" w:firstLine="0"/>
        <w:jc w:val="both"/>
        <w:rPr>
          <w:szCs w:val="24"/>
        </w:rPr>
      </w:pPr>
      <w:r>
        <w:rPr>
          <w:szCs w:val="24"/>
        </w:rPr>
        <w:t xml:space="preserve"> </w:t>
      </w:r>
      <w:r>
        <w:rPr>
          <w:szCs w:val="24"/>
        </w:rPr>
        <w:t>Камардина</w:t>
      </w:r>
      <w:r>
        <w:rPr>
          <w:szCs w:val="24"/>
        </w:rPr>
        <w:t xml:space="preserve">, А.А. Профессиональная </w:t>
      </w:r>
      <w:r>
        <w:rPr>
          <w:szCs w:val="24"/>
        </w:rPr>
        <w:t>этика :</w:t>
      </w:r>
      <w:r>
        <w:rPr>
          <w:szCs w:val="24"/>
        </w:rPr>
        <w:t xml:space="preserve"> учебное пособие / А.А. </w:t>
      </w:r>
      <w:r>
        <w:rPr>
          <w:szCs w:val="24"/>
        </w:rPr>
        <w:t>Камардина</w:t>
      </w:r>
      <w:r>
        <w:rPr>
          <w:szCs w:val="24"/>
        </w:rPr>
        <w:t xml:space="preserve"> ; Министерство образования и науки Российской Федерации, Федеральное государственное бюджетное образовательное учреждение высшего профессионального образования «Оренбургский государственный университет». - Оренбург: Оренбургский государственный университет, 20</w:t>
      </w:r>
      <w:r>
        <w:rPr>
          <w:szCs w:val="24"/>
        </w:rPr>
        <w:t>23</w:t>
      </w:r>
      <w:r>
        <w:rPr>
          <w:szCs w:val="24"/>
        </w:rPr>
        <w:t>. - 167 с. - [Электронный ресурс]. - URL: http://biblioclub.ru/index.php?page=book&amp;id=258824).</w:t>
      </w:r>
    </w:p>
    <w:p w14:paraId="00000270">
      <w:pPr>
        <w:numPr>
          <w:ilvl w:val="0"/>
          <w:numId w:val="8"/>
        </w:numPr>
        <w:ind w:left="0" w:firstLine="0"/>
        <w:jc w:val="both"/>
        <w:rPr>
          <w:szCs w:val="24"/>
        </w:rPr>
      </w:pPr>
      <w:r>
        <w:rPr>
          <w:szCs w:val="24"/>
        </w:rPr>
        <w:t xml:space="preserve">Ермакова, Ж. Профессиональная этика и этикет: </w:t>
      </w:r>
      <w:r>
        <w:rPr>
          <w:szCs w:val="24"/>
        </w:rPr>
        <w:t>практикум :</w:t>
      </w:r>
      <w:r>
        <w:rPr>
          <w:szCs w:val="24"/>
        </w:rPr>
        <w:t xml:space="preserve"> учебное пособие к практическим занятиям / Ж. Ермакова, О. </w:t>
      </w:r>
      <w:r>
        <w:rPr>
          <w:szCs w:val="24"/>
        </w:rPr>
        <w:t>Тетерятник</w:t>
      </w:r>
      <w:r>
        <w:rPr>
          <w:szCs w:val="24"/>
        </w:rPr>
        <w:t xml:space="preserve">, Ю. </w:t>
      </w:r>
      <w:r>
        <w:rPr>
          <w:szCs w:val="24"/>
        </w:rPr>
        <w:t>Холодилина</w:t>
      </w:r>
      <w:r>
        <w:rPr>
          <w:szCs w:val="24"/>
        </w:rPr>
        <w:t xml:space="preserve"> ; Министерство образования и науки Российской Федерации, Федеральное государственное бюджетное образовательное учреждение высшего профессионального образования «Оренбургский государственный университет», Кафедра управления персоналом, сервиса и туризма. - [Электронный ресурс]. - </w:t>
      </w:r>
      <w:r>
        <w:rPr>
          <w:szCs w:val="24"/>
        </w:rPr>
        <w:t>URL:  Оренбург</w:t>
      </w:r>
      <w:r>
        <w:rPr>
          <w:szCs w:val="24"/>
        </w:rPr>
        <w:t>: ОГУ, 20</w:t>
      </w:r>
      <w:r>
        <w:rPr>
          <w:szCs w:val="24"/>
        </w:rPr>
        <w:t>2</w:t>
      </w:r>
      <w:r>
        <w:rPr>
          <w:szCs w:val="24"/>
        </w:rPr>
        <w:t>3. - 104 с. http://biblioclub.ru/index.php?page=book&amp;id=259114.</w:t>
      </w:r>
    </w:p>
    <w:p w14:paraId="00000271">
      <w:pPr>
        <w:numPr>
          <w:ilvl w:val="0"/>
          <w:numId w:val="8"/>
        </w:numPr>
        <w:ind w:left="0" w:firstLine="0"/>
        <w:jc w:val="both"/>
        <w:rPr>
          <w:szCs w:val="24"/>
        </w:rPr>
      </w:pPr>
      <w:r>
        <w:rPr>
          <w:szCs w:val="24"/>
        </w:rPr>
        <w:t>Профессиональная этика и служебный этикет сотрудников органов внутренних дел [Электронный ресурс</w:t>
      </w:r>
      <w:r>
        <w:rPr>
          <w:szCs w:val="24"/>
        </w:rPr>
        <w:t>]:учебник</w:t>
      </w:r>
      <w:r>
        <w:rPr>
          <w:szCs w:val="24"/>
        </w:rPr>
        <w:t xml:space="preserve"> /</w:t>
      </w:r>
      <w:r>
        <w:rPr>
          <w:szCs w:val="24"/>
        </w:rPr>
        <w:t>И.И.Аминов,А.В.Щеглов,Н.Д.Эриашвили</w:t>
      </w:r>
      <w:r>
        <w:rPr>
          <w:szCs w:val="24"/>
        </w:rPr>
        <w:t xml:space="preserve"> </w:t>
      </w:r>
      <w:r>
        <w:rPr>
          <w:szCs w:val="24"/>
        </w:rPr>
        <w:t>идр</w:t>
      </w:r>
      <w:r>
        <w:rPr>
          <w:szCs w:val="24"/>
        </w:rPr>
        <w:t xml:space="preserve">. – </w:t>
      </w:r>
      <w:r>
        <w:rPr>
          <w:szCs w:val="24"/>
        </w:rPr>
        <w:t>М.:Юнити</w:t>
      </w:r>
      <w:r>
        <w:rPr>
          <w:szCs w:val="24"/>
        </w:rPr>
        <w:t>-Дана,20</w:t>
      </w:r>
      <w:r>
        <w:rPr>
          <w:szCs w:val="24"/>
        </w:rPr>
        <w:t>2</w:t>
      </w:r>
      <w:r>
        <w:rPr>
          <w:szCs w:val="24"/>
        </w:rPr>
        <w:t>5 – 271 с. – URL:http://biblioklub/ru/index.php?page=book&amp;id=426640</w:t>
      </w:r>
      <w:r>
        <w:rPr>
          <w:szCs w:val="24"/>
        </w:rPr>
        <w:t>.</w:t>
      </w:r>
    </w:p>
    <w:p w14:paraId="00000272">
      <w:pPr>
        <w:numPr>
          <w:ilvl w:val="0"/>
          <w:numId w:val="8"/>
        </w:numPr>
        <w:spacing w:after="200" w:line="276" w:lineRule="auto"/>
        <w:ind w:left="0" w:firstLine="0"/>
        <w:rPr>
          <w:szCs w:val="24"/>
        </w:rPr>
      </w:pPr>
      <w:r>
        <w:rPr>
          <w:szCs w:val="24"/>
        </w:rPr>
        <w:t>Хафизов Э.Д. Профессиональная этика [Текст</w:t>
      </w:r>
      <w:r>
        <w:rPr>
          <w:szCs w:val="24"/>
        </w:rPr>
        <w:t>]:учебное</w:t>
      </w:r>
      <w:r>
        <w:rPr>
          <w:szCs w:val="24"/>
        </w:rPr>
        <w:t xml:space="preserve"> пособие / </w:t>
      </w:r>
      <w:r>
        <w:rPr>
          <w:szCs w:val="24"/>
        </w:rPr>
        <w:t>Э.Д.Хафизов</w:t>
      </w:r>
      <w:r>
        <w:rPr>
          <w:szCs w:val="24"/>
        </w:rPr>
        <w:t xml:space="preserve">, </w:t>
      </w:r>
      <w:r>
        <w:rPr>
          <w:szCs w:val="24"/>
        </w:rPr>
        <w:t>У.А.Кашапов,МВД</w:t>
      </w:r>
      <w:r>
        <w:rPr>
          <w:szCs w:val="24"/>
        </w:rPr>
        <w:t xml:space="preserve"> </w:t>
      </w:r>
      <w:r>
        <w:rPr>
          <w:szCs w:val="24"/>
        </w:rPr>
        <w:t>России,ФГКОУ</w:t>
      </w:r>
      <w:r>
        <w:rPr>
          <w:szCs w:val="24"/>
        </w:rPr>
        <w:t xml:space="preserve"> </w:t>
      </w:r>
      <w:r>
        <w:rPr>
          <w:szCs w:val="24"/>
        </w:rPr>
        <w:t>Уфим.юрид.ни</w:t>
      </w:r>
      <w:r>
        <w:rPr>
          <w:szCs w:val="24"/>
        </w:rPr>
        <w:t xml:space="preserve">-т – </w:t>
      </w:r>
      <w:r>
        <w:rPr>
          <w:szCs w:val="24"/>
        </w:rPr>
        <w:t>Уфа:УЮИ</w:t>
      </w:r>
      <w:r>
        <w:rPr>
          <w:szCs w:val="24"/>
        </w:rPr>
        <w:t xml:space="preserve"> МВД России,20</w:t>
      </w:r>
      <w:r>
        <w:rPr>
          <w:szCs w:val="24"/>
        </w:rPr>
        <w:t>23</w:t>
      </w:r>
      <w:r>
        <w:rPr>
          <w:szCs w:val="24"/>
        </w:rPr>
        <w:t>. – 172</w:t>
      </w:r>
    </w:p>
    <w:p w14:paraId="00000273">
      <w:pPr>
        <w:pStyle w:val="NoSpacing"/>
        <w:jc w:val="both"/>
        <w:rPr>
          <w:rFonts w:ascii="Times New Roman" w:hAnsi="Times New Roman"/>
          <w:sz w:val="24"/>
          <w:szCs w:val="24"/>
        </w:rPr>
      </w:pPr>
      <w:r>
        <w:rPr>
          <w:rFonts w:ascii="Times New Roman" w:hAnsi="Times New Roman"/>
          <w:sz w:val="24"/>
          <w:szCs w:val="24"/>
        </w:rPr>
        <w:t>Интернет-ресурсы:</w:t>
      </w:r>
    </w:p>
    <w:p w14:paraId="00000274">
      <w:pPr>
        <w:numPr>
          <w:ilvl w:val="0"/>
          <w:numId w:val="7"/>
        </w:numPr>
        <w:ind w:left="0" w:firstLine="0"/>
        <w:jc w:val="both"/>
        <w:rPr>
          <w:szCs w:val="24"/>
        </w:rPr>
      </w:pPr>
      <w:r>
        <w:rPr>
          <w:szCs w:val="24"/>
        </w:rPr>
        <w:t>http://yurpsy.com</w:t>
      </w:r>
    </w:p>
    <w:p w14:paraId="00000275">
      <w:pPr>
        <w:numPr>
          <w:ilvl w:val="0"/>
          <w:numId w:val="7"/>
        </w:numPr>
        <w:ind w:left="0" w:firstLine="0"/>
        <w:jc w:val="both"/>
        <w:rPr>
          <w:szCs w:val="24"/>
        </w:rPr>
      </w:pPr>
      <w:r>
        <w:rPr>
          <w:szCs w:val="24"/>
        </w:rPr>
        <w:t>http://jurispsychology.livejournal.com</w:t>
      </w:r>
    </w:p>
    <w:p w14:paraId="00000276">
      <w:pPr>
        <w:numPr>
          <w:ilvl w:val="0"/>
          <w:numId w:val="7"/>
        </w:numPr>
        <w:ind w:left="0" w:firstLine="0"/>
        <w:jc w:val="both"/>
        <w:rPr>
          <w:szCs w:val="24"/>
        </w:rPr>
      </w:pPr>
      <w:r>
        <w:rPr>
          <w:szCs w:val="24"/>
        </w:rPr>
        <w:t>https://psyera.ru</w:t>
      </w:r>
    </w:p>
    <w:p w14:paraId="00000277">
      <w:pPr>
        <w:numPr>
          <w:ilvl w:val="0"/>
          <w:numId w:val="7"/>
        </w:numPr>
        <w:ind w:left="0" w:firstLine="0"/>
        <w:jc w:val="both"/>
        <w:rPr>
          <w:szCs w:val="24"/>
        </w:rPr>
      </w:pPr>
      <w:r>
        <w:rPr>
          <w:szCs w:val="24"/>
        </w:rPr>
        <w:t>http://psyjournals.ru/journal_catalog</w:t>
      </w:r>
    </w:p>
    <w:p w14:paraId="00000278">
      <w:pPr>
        <w:numPr>
          <w:ilvl w:val="0"/>
          <w:numId w:val="7"/>
        </w:numPr>
        <w:ind w:left="0" w:firstLine="0"/>
        <w:jc w:val="both"/>
        <w:rPr>
          <w:szCs w:val="24"/>
        </w:rPr>
      </w:pPr>
      <w:r>
        <w:rPr>
          <w:szCs w:val="24"/>
        </w:rPr>
        <w:t>http://www.alpmag.info</w:t>
      </w:r>
    </w:p>
    <w:p w14:paraId="00000279">
      <w:pPr>
        <w:ind w:left="720"/>
        <w:rPr>
          <w:b/>
          <w:szCs w:val="24"/>
        </w:rPr>
      </w:pPr>
    </w:p>
    <w:p w14:paraId="0000027A">
      <w:pPr>
        <w:numPr>
          <w:ilvl w:val="0"/>
          <w:numId w:val="5"/>
        </w:numPr>
        <w:jc w:val="center"/>
        <w:rPr>
          <w:b/>
          <w:szCs w:val="24"/>
        </w:rPr>
      </w:pPr>
      <w:r>
        <w:rPr>
          <w:b/>
          <w:szCs w:val="24"/>
        </w:rPr>
        <w:t>КОНТРОЛЬ И ОЦЕНКА РЕЗУЛЬТАТОВ ОСВОЕНИЯ ДИСЦИПЛИНЫ</w:t>
      </w:r>
    </w:p>
    <w:p w14:paraId="0000027B">
      <w:pPr>
        <w:ind w:left="1080"/>
        <w:rPr>
          <w:b/>
          <w:szCs w:val="24"/>
        </w:rPr>
      </w:pPr>
    </w:p>
    <w:p w14:paraId="0000027C">
      <w:pPr>
        <w:ind w:firstLine="708"/>
        <w:rPr>
          <w:szCs w:val="24"/>
        </w:rPr>
      </w:pPr>
      <w:r>
        <w:rPr>
          <w:b/>
          <w:szCs w:val="24"/>
        </w:rPr>
        <w:t xml:space="preserve">Контроль и оценка </w:t>
      </w:r>
      <w:r>
        <w:rPr>
          <w:szCs w:val="24"/>
        </w:rPr>
        <w:t>результатов освоения дисциплины осуществляется преподавателем в процессе проведения практических занятий и лабораторных работ, тестирования, а также выполнения обучающимися индивидуальных заданий, проектов, исследований.</w:t>
      </w:r>
    </w:p>
    <w:p w14:paraId="0000027D">
      <w:pPr>
        <w:ind w:firstLine="708"/>
        <w:rPr>
          <w:szCs w:val="24"/>
        </w:rPr>
      </w:pPr>
      <w:r>
        <w:rPr>
          <w:b/>
          <w:szCs w:val="24"/>
        </w:rPr>
        <w:t xml:space="preserve">Контроль и оценка </w:t>
      </w:r>
      <w:r>
        <w:rPr>
          <w:szCs w:val="24"/>
        </w:rPr>
        <w:t>результатов освоения дисциплины осуществляется преподавателем в процессе проведения практических занятий и лабораторных работ, тестирования, а также выполнения обучающимися индивидуальных заданий, проектов, исследований.</w:t>
      </w:r>
    </w:p>
    <w:p w14:paraId="0000027E">
      <w:pPr>
        <w:ind w:firstLine="708"/>
        <w:rPr>
          <w:szCs w:val="24"/>
        </w:rPr>
      </w:pPr>
    </w:p>
    <w:tbl>
      <w:tblPr>
        <w:tblW w:w="96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tblPr>
      <w:tblGrid>
        <w:gridCol w:w="3823"/>
        <w:gridCol w:w="3969"/>
        <w:gridCol w:w="1843"/>
      </w:tblGrid>
      <w:tr>
        <w:trPr>
          <w:trHeight w:val="519"/>
        </w:trPr>
        <w:tc>
          <w:tcPr>
            <w:cnfStyle w:val="101000000000"/>
            <w:tcW w:w="3823" w:type="dxa"/>
            <w:tcBorders>
              <w:top w:val="single" w:color="000000" w:sz="4" w:space="0"/>
              <w:left w:val="single" w:color="000000" w:sz="4" w:space="0"/>
              <w:bottom w:val="single" w:color="000000" w:sz="4" w:space="0"/>
              <w:right w:val="single" w:color="000000" w:sz="4" w:space="0"/>
            </w:tcBorders>
            <w:vAlign w:val="center"/>
          </w:tcPr>
          <w:p w14:paraId="0000027F">
            <w:pPr>
              <w:contextualSpacing w:val="on"/>
              <w:jc w:val="center"/>
              <w:rPr>
                <w:b/>
              </w:rPr>
            </w:pPr>
            <w:r>
              <w:rPr>
                <w:b/>
              </w:rPr>
              <w:t>Результаты обучения</w:t>
            </w:r>
          </w:p>
        </w:tc>
        <w:tc>
          <w:tcPr>
            <w:cnfStyle w:val="100000000000"/>
            <w:tcW w:w="3969" w:type="dxa"/>
            <w:tcBorders>
              <w:top w:val="single" w:color="000000" w:sz="4" w:space="0"/>
              <w:left w:val="single" w:color="000000" w:sz="4" w:space="0"/>
              <w:bottom w:val="single" w:color="000000" w:sz="4" w:space="0"/>
              <w:right w:val="single" w:color="000000" w:sz="4" w:space="0"/>
            </w:tcBorders>
            <w:vAlign w:val="center"/>
          </w:tcPr>
          <w:p w14:paraId="00000280">
            <w:pPr>
              <w:contextualSpacing w:val="on"/>
              <w:jc w:val="center"/>
              <w:rPr>
                <w:b/>
              </w:rPr>
            </w:pPr>
            <w:r>
              <w:rPr>
                <w:b/>
              </w:rPr>
              <w:t>Показатели освоенности компетенций</w:t>
            </w:r>
          </w:p>
        </w:tc>
        <w:tc>
          <w:tcPr>
            <w:cnfStyle w:val="100000000000"/>
            <w:tcW w:w="1843" w:type="dxa"/>
            <w:tcBorders>
              <w:top w:val="single" w:color="000000" w:sz="4" w:space="0"/>
              <w:left w:val="single" w:color="000000" w:sz="4" w:space="0"/>
              <w:bottom w:val="single" w:color="000000" w:sz="4" w:space="0"/>
              <w:right w:val="single" w:color="000000" w:sz="4" w:space="0"/>
            </w:tcBorders>
            <w:vAlign w:val="center"/>
          </w:tcPr>
          <w:p w14:paraId="00000281">
            <w:pPr>
              <w:contextualSpacing w:val="on"/>
              <w:jc w:val="center"/>
              <w:rPr>
                <w:b/>
              </w:rPr>
            </w:pPr>
            <w:r>
              <w:rPr>
                <w:b/>
              </w:rPr>
              <w:t>Методы оценки</w:t>
            </w:r>
          </w:p>
        </w:tc>
      </w:tr>
      <w:tr>
        <w:trPr>
          <w:trHeight w:val="698"/>
        </w:trPr>
        <w:tc>
          <w:tcPr>
            <w:cnfStyle w:val="001000100000"/>
            <w:tcW w:w="3823" w:type="dxa"/>
            <w:tcBorders>
              <w:top w:val="single" w:color="000000" w:sz="4" w:space="0"/>
              <w:left w:val="single" w:color="000000" w:sz="4" w:space="0"/>
              <w:bottom w:val="single" w:color="000000" w:sz="4" w:space="0"/>
              <w:right w:val="single" w:color="000000" w:sz="4" w:space="0"/>
            </w:tcBorders>
          </w:tcPr>
          <w:p w14:paraId="00000282">
            <w:pPr>
              <w:jc w:val="both"/>
              <w:rPr>
                <w:b/>
                <w:bCs/>
                <w:spacing w:val="-7"/>
                <w:lang w:eastAsia="ar-SA"/>
              </w:rPr>
            </w:pPr>
            <w:r>
              <w:rPr>
                <w:b/>
                <w:bCs/>
                <w:spacing w:val="-7"/>
                <w:lang w:eastAsia="ar-SA"/>
              </w:rPr>
              <w:t>Знает</w:t>
            </w:r>
          </w:p>
          <w:p w14:paraId="00000283">
            <w:pPr>
              <w:jc w:val="both"/>
              <w:rPr/>
            </w:pPr>
            <w:r>
              <w:rPr>
                <w:spacing w:val="-7"/>
                <w:lang w:eastAsia="ar-SA"/>
              </w:rPr>
              <w:t>-</w:t>
            </w:r>
          </w:p>
          <w:p w14:paraId="00000284">
            <w:pPr>
              <w:jc w:val="both"/>
              <w:rPr>
                <w:rFonts w:eastAsia="Calibri"/>
                <w:bCs/>
                <w:color w:val="auto"/>
                <w:szCs w:val="24"/>
                <w:lang w:eastAsia="en-US"/>
              </w:rPr>
            </w:pPr>
            <w:r>
              <w:rPr>
                <w:rFonts w:eastAsia="Calibri"/>
                <w:iCs/>
                <w:color w:val="auto"/>
                <w:szCs w:val="24"/>
                <w:lang w:eastAsia="en-US"/>
              </w:rPr>
              <w:t>а</w:t>
            </w:r>
            <w:r>
              <w:rPr>
                <w:rFonts w:eastAsia="Calibri"/>
                <w:bCs/>
                <w:color w:val="auto"/>
                <w:szCs w:val="24"/>
                <w:lang w:eastAsia="en-US"/>
              </w:rPr>
              <w:t xml:space="preserve">ктуальный профессиональный и социальный контекст, в котором приходится работать и жить </w:t>
            </w:r>
          </w:p>
          <w:p w14:paraId="00000285">
            <w:pPr>
              <w:jc w:val="both"/>
              <w:rPr>
                <w:rFonts w:eastAsia="Calibri"/>
                <w:iCs/>
                <w:color w:val="auto"/>
                <w:szCs w:val="24"/>
                <w:lang w:eastAsia="en-US"/>
              </w:rPr>
            </w:pPr>
            <w:r>
              <w:rPr>
                <w:rFonts w:eastAsia="Calibri"/>
                <w:bCs/>
                <w:color w:val="auto"/>
                <w:szCs w:val="24"/>
                <w:lang w:eastAsia="en-US"/>
              </w:rPr>
              <w:t>структура плана для решения задач, алгоритмы выполнения работ в профессиональной и смежных областях</w:t>
            </w:r>
          </w:p>
          <w:p w14:paraId="00000286">
            <w:pPr>
              <w:jc w:val="both"/>
              <w:rPr>
                <w:rFonts w:eastAsia="Calibri"/>
                <w:b/>
                <w:iCs/>
                <w:color w:val="auto"/>
                <w:szCs w:val="24"/>
                <w:lang w:eastAsia="en-US"/>
              </w:rPr>
            </w:pPr>
            <w:r>
              <w:rPr>
                <w:rFonts w:eastAsia="Calibri"/>
                <w:bCs/>
                <w:color w:val="auto"/>
                <w:szCs w:val="24"/>
                <w:lang w:eastAsia="en-US"/>
              </w:rPr>
              <w:t>основные источники информации и ресурсы для решения задач и/или проблем в профессиональном и/или социальном контексте</w:t>
            </w:r>
          </w:p>
          <w:p w14:paraId="00000287">
            <w:pPr>
              <w:jc w:val="both"/>
              <w:rPr>
                <w:rFonts w:eastAsia="Calibri"/>
                <w:bCs/>
                <w:color w:val="auto"/>
                <w:szCs w:val="24"/>
                <w:lang w:eastAsia="en-US"/>
              </w:rPr>
            </w:pPr>
            <w:r>
              <w:rPr>
                <w:rFonts w:eastAsia="Calibri"/>
                <w:bCs/>
                <w:color w:val="auto"/>
                <w:szCs w:val="24"/>
                <w:lang w:eastAsia="en-US"/>
              </w:rPr>
              <w:t>методы работы в профессиональной и смежных сферах</w:t>
            </w:r>
          </w:p>
          <w:p w14:paraId="00000288">
            <w:pPr>
              <w:contextualSpacing w:val="on"/>
              <w:rPr>
                <w:rFonts w:eastAsia="Calibri"/>
                <w:bCs/>
                <w:color w:val="auto"/>
                <w:szCs w:val="24"/>
                <w:lang w:eastAsia="en-US"/>
              </w:rPr>
            </w:pPr>
            <w:r>
              <w:rPr>
                <w:rFonts w:eastAsia="Calibri"/>
                <w:bCs/>
                <w:color w:val="auto"/>
                <w:szCs w:val="24"/>
                <w:lang w:eastAsia="en-US"/>
              </w:rPr>
              <w:t>порядок оценки результатов решения задач профессиональной деятельности</w:t>
            </w:r>
          </w:p>
          <w:p w14:paraId="00000289">
            <w:pPr>
              <w:jc w:val="both"/>
              <w:rPr>
                <w:rFonts w:eastAsia="Calibri"/>
                <w:b/>
                <w:bCs/>
                <w:iCs/>
                <w:color w:val="auto"/>
                <w:spacing w:val="-4"/>
                <w:szCs w:val="24"/>
                <w:lang w:eastAsia="en-US"/>
              </w:rPr>
            </w:pPr>
            <w:r>
              <w:rPr>
                <w:rFonts w:eastAsia="Calibri"/>
                <w:bCs/>
                <w:color w:val="auto"/>
                <w:szCs w:val="24"/>
                <w:lang w:eastAsia="en-US"/>
              </w:rPr>
              <w:t>психологические основы деятельности коллектива</w:t>
            </w:r>
          </w:p>
          <w:p w14:paraId="0000028A">
            <w:pPr>
              <w:jc w:val="both"/>
              <w:rPr>
                <w:rFonts w:eastAsia="Calibri"/>
                <w:bCs/>
                <w:color w:val="auto"/>
                <w:szCs w:val="24"/>
                <w:lang w:eastAsia="en-US"/>
              </w:rPr>
            </w:pPr>
            <w:r>
              <w:rPr>
                <w:rFonts w:eastAsia="Calibri"/>
                <w:bCs/>
                <w:color w:val="auto"/>
                <w:szCs w:val="24"/>
                <w:lang w:eastAsia="en-US"/>
              </w:rPr>
              <w:t>психологические особенности личности</w:t>
            </w:r>
          </w:p>
          <w:p w14:paraId="0000028B">
            <w:pPr>
              <w:contextualSpacing w:val="on"/>
              <w:rPr/>
            </w:pPr>
            <w:r>
              <w:rPr>
                <w:rFonts w:eastAsiaTheme="minorHAnsi"/>
                <w:bCs/>
                <w:color w:val="auto"/>
                <w:szCs w:val="24"/>
                <w:lang w:eastAsia="en-US"/>
              </w:rPr>
              <w:t>основы проектной деятельности</w:t>
            </w:r>
          </w:p>
        </w:tc>
        <w:tc>
          <w:tcPr>
            <w:cnfStyle w:val="000000100000"/>
            <w:tcW w:w="3969" w:type="dxa"/>
            <w:tcBorders>
              <w:top w:val="single" w:color="000000" w:sz="4" w:space="0"/>
              <w:left w:val="single" w:color="000000" w:sz="4" w:space="0"/>
              <w:bottom w:val="single" w:color="000000" w:sz="4" w:space="0"/>
              <w:right w:val="single" w:color="000000" w:sz="4" w:space="0"/>
            </w:tcBorders>
          </w:tcPr>
          <w:p w14:paraId="0000028C">
            <w:pPr>
              <w:jc w:val="both"/>
              <w:rPr>
                <w:lang w:eastAsia="ar-SA"/>
              </w:rPr>
            </w:pPr>
            <w:r>
              <w:rPr>
                <w:lang w:eastAsia="ar-SA"/>
              </w:rPr>
              <w:t>- осуществление профессионального толкования норм права;</w:t>
            </w:r>
          </w:p>
          <w:p w14:paraId="0000028D">
            <w:pPr>
              <w:jc w:val="both"/>
              <w:rPr>
                <w:lang w:eastAsia="ar-SA"/>
              </w:rPr>
            </w:pPr>
            <w:r>
              <w:rPr>
                <w:lang w:eastAsia="ar-SA"/>
              </w:rPr>
              <w:t>применение норм права для решения задач в профессиональной деятельности;</w:t>
            </w:r>
          </w:p>
          <w:p w14:paraId="0000028E">
            <w:pPr>
              <w:jc w:val="both"/>
              <w:rPr>
                <w:lang w:eastAsia="ar-SA"/>
              </w:rPr>
            </w:pPr>
            <w:r>
              <w:rPr>
                <w:lang w:eastAsia="ar-SA"/>
              </w:rPr>
              <w:t xml:space="preserve">- демонстрация навыков работы с нормативными правовыми актами, в </w:t>
            </w:r>
            <w:r>
              <w:rPr>
                <w:lang w:eastAsia="ar-SA"/>
              </w:rPr>
              <w:t>т.ч</w:t>
            </w:r>
            <w:r>
              <w:rPr>
                <w:lang w:eastAsia="ar-SA"/>
              </w:rPr>
              <w:t>. с использованием информационно-компьютерных технологий.</w:t>
            </w:r>
          </w:p>
          <w:p w14:paraId="0000028F">
            <w:pPr>
              <w:jc w:val="both"/>
              <w:rPr>
                <w:lang w:eastAsia="ar-SA"/>
              </w:rPr>
            </w:pPr>
            <w:r>
              <w:rPr>
                <w:lang w:eastAsia="ar-SA"/>
              </w:rPr>
              <w:t>решение практических ситуаций с нормативным правовым обоснованием</w:t>
            </w:r>
          </w:p>
          <w:p w14:paraId="00000290">
            <w:pPr>
              <w:jc w:val="both"/>
              <w:rPr>
                <w:lang w:eastAsia="ar-SA"/>
              </w:rPr>
            </w:pPr>
            <w:r>
              <w:rPr>
                <w:lang w:eastAsia="ar-SA"/>
              </w:rPr>
              <w:t>осуществление профессионального толкования норм права;</w:t>
            </w:r>
          </w:p>
          <w:p w14:paraId="00000291">
            <w:pPr>
              <w:contextualSpacing w:val="on"/>
              <w:rPr/>
            </w:pPr>
            <w:r>
              <w:rPr>
                <w:lang w:eastAsia="ar-SA"/>
              </w:rPr>
              <w:t>применение норм права для решения задач в профессиональной деятельности;</w:t>
            </w:r>
          </w:p>
        </w:tc>
        <w:tc>
          <w:tcPr>
            <w:cnfStyle w:val="000000100000"/>
            <w:tcW w:w="1843" w:type="dxa"/>
            <w:tcBorders>
              <w:top w:val="single" w:color="000000" w:sz="4" w:space="0"/>
              <w:left w:val="single" w:color="000000" w:sz="4" w:space="0"/>
              <w:bottom w:val="single" w:color="000000" w:sz="4" w:space="0"/>
              <w:right w:val="single" w:color="000000" w:sz="4" w:space="0"/>
            </w:tcBorders>
          </w:tcPr>
          <w:p w14:paraId="00000292">
            <w:pPr>
              <w:contextualSpacing w:val="on"/>
              <w:rPr/>
            </w:pPr>
          </w:p>
          <w:p w14:paraId="00000293">
            <w:pPr>
              <w:contextualSpacing w:val="on"/>
              <w:rPr/>
            </w:pPr>
            <w:r>
              <w:rPr>
                <w:sz w:val="20"/>
              </w:rPr>
              <w:t>тестирование; устный опрос; письменные ответы на вопросы</w:t>
            </w:r>
          </w:p>
        </w:tc>
      </w:tr>
      <w:tr>
        <w:trPr>
          <w:trHeight w:val="698"/>
        </w:trPr>
        <w:tc>
          <w:tcPr>
            <w:cnfStyle w:val="001000010000"/>
            <w:tcW w:w="3823" w:type="dxa"/>
            <w:tcBorders>
              <w:top w:val="single" w:color="000000" w:sz="4" w:space="0"/>
              <w:left w:val="single" w:color="000000" w:sz="4" w:space="0"/>
              <w:bottom w:val="single" w:color="000000" w:sz="4" w:space="0"/>
              <w:right w:val="single" w:color="000000" w:sz="4" w:space="0"/>
            </w:tcBorders>
          </w:tcPr>
          <w:p w14:paraId="00000294">
            <w:pPr>
              <w:jc w:val="both"/>
              <w:rPr>
                <w:b/>
                <w:bCs/>
                <w:lang w:eastAsia="ar-SA"/>
              </w:rPr>
            </w:pPr>
            <w:r>
              <w:rPr>
                <w:b/>
                <w:bCs/>
                <w:lang w:eastAsia="ar-SA"/>
              </w:rPr>
              <w:t>Умеет:</w:t>
            </w:r>
          </w:p>
          <w:p w14:paraId="00000295">
            <w:pPr>
              <w:jc w:val="both"/>
              <w:rPr/>
            </w:pPr>
            <w:r>
              <w:rPr>
                <w:lang w:eastAsia="ar-SA"/>
              </w:rPr>
              <w:t>-</w:t>
            </w:r>
          </w:p>
          <w:p w14:paraId="00000296">
            <w:pPr>
              <w:jc w:val="both"/>
              <w:rPr>
                <w:rFonts w:eastAsia="Calibri"/>
                <w:b/>
                <w:iCs/>
                <w:color w:val="auto"/>
                <w:szCs w:val="24"/>
                <w:lang w:eastAsia="en-US"/>
              </w:rPr>
            </w:pPr>
            <w:r>
              <w:rPr>
                <w:rFonts w:eastAsia="Calibri"/>
                <w:iCs/>
                <w:color w:val="auto"/>
                <w:szCs w:val="24"/>
                <w:lang w:eastAsia="en-US"/>
              </w:rPr>
              <w:t>распознавать задачу и/или проблему в профессиональном и/или социальном контексте, анализировать и выделять её составные части</w:t>
            </w:r>
          </w:p>
          <w:p w14:paraId="00000297">
            <w:pPr>
              <w:jc w:val="both"/>
              <w:rPr>
                <w:rFonts w:eastAsia="Calibri"/>
                <w:iCs/>
                <w:color w:val="auto"/>
                <w:szCs w:val="24"/>
                <w:lang w:eastAsia="en-US"/>
              </w:rPr>
            </w:pPr>
            <w:r>
              <w:rPr>
                <w:rFonts w:eastAsia="Calibri"/>
                <w:iCs/>
                <w:color w:val="auto"/>
                <w:szCs w:val="24"/>
                <w:lang w:eastAsia="en-US"/>
              </w:rPr>
              <w:t>определять этапы решения задачи, составлять план действия, реализовывать составленный план, определять необходимые ресурсы</w:t>
            </w:r>
          </w:p>
          <w:p w14:paraId="00000298">
            <w:pPr>
              <w:jc w:val="both"/>
              <w:rPr>
                <w:rFonts w:eastAsia="Calibri"/>
                <w:iCs/>
                <w:color w:val="auto"/>
                <w:szCs w:val="24"/>
                <w:lang w:eastAsia="en-US"/>
              </w:rPr>
            </w:pPr>
            <w:r>
              <w:rPr>
                <w:rFonts w:eastAsia="Calibri"/>
                <w:iCs/>
                <w:color w:val="auto"/>
                <w:szCs w:val="24"/>
                <w:lang w:eastAsia="en-US"/>
              </w:rPr>
              <w:t>выявлять и эффективно искать информацию, необходимую для решения задачи и/или проблемы</w:t>
            </w:r>
          </w:p>
          <w:p w14:paraId="00000299">
            <w:pPr>
              <w:jc w:val="both"/>
              <w:rPr>
                <w:rFonts w:eastAsia="Calibri"/>
                <w:iCs/>
                <w:color w:val="auto"/>
                <w:szCs w:val="24"/>
                <w:lang w:eastAsia="en-US"/>
              </w:rPr>
            </w:pPr>
            <w:r>
              <w:rPr>
                <w:rFonts w:eastAsia="Calibri"/>
                <w:iCs/>
                <w:color w:val="auto"/>
                <w:szCs w:val="24"/>
                <w:lang w:eastAsia="en-US"/>
              </w:rPr>
              <w:t>владеть актуальными методами работы в профессиональной и смежных сферах</w:t>
            </w:r>
          </w:p>
          <w:p w14:paraId="0000029A">
            <w:pPr>
              <w:contextualSpacing w:val="on"/>
              <w:rPr>
                <w:rFonts w:eastAsia="Calibri"/>
                <w:iCs/>
                <w:color w:val="auto"/>
                <w:szCs w:val="24"/>
                <w:lang w:eastAsia="en-US"/>
              </w:rPr>
            </w:pPr>
            <w:r>
              <w:rPr>
                <w:rFonts w:eastAsia="Calibri"/>
                <w:iCs/>
                <w:color w:val="auto"/>
                <w:szCs w:val="24"/>
                <w:lang w:eastAsia="en-US"/>
              </w:rPr>
              <w:t>оценивать результат и последствия своих действий (самостоятельно или с помощью наставника)</w:t>
            </w:r>
            <w:r>
              <w:rPr>
                <w:rFonts w:eastAsia="Calibri"/>
                <w:iCs/>
                <w:color w:val="auto"/>
                <w:szCs w:val="24"/>
                <w:lang w:eastAsia="en-US"/>
              </w:rPr>
              <w:t>,</w:t>
            </w:r>
          </w:p>
          <w:p w14:paraId="0000029B">
            <w:pPr>
              <w:jc w:val="both"/>
              <w:rPr>
                <w:rFonts w:eastAsia="Calibri"/>
                <w:b/>
                <w:bCs/>
                <w:iCs/>
                <w:color w:val="auto"/>
                <w:spacing w:val="-4"/>
                <w:szCs w:val="24"/>
                <w:lang w:eastAsia="en-US"/>
              </w:rPr>
            </w:pPr>
            <w:r>
              <w:rPr>
                <w:rFonts w:eastAsia="Calibri"/>
                <w:bCs/>
                <w:color w:val="auto"/>
                <w:spacing w:val="-4"/>
                <w:szCs w:val="24"/>
                <w:lang w:eastAsia="en-US"/>
              </w:rPr>
              <w:t>организовывать работу коллектива и команды</w:t>
            </w:r>
          </w:p>
          <w:p w14:paraId="0000029C">
            <w:pPr>
              <w:contextualSpacing w:val="on"/>
              <w:rPr>
                <w:rFonts w:eastAsia="Calibri"/>
                <w:iCs/>
                <w:color w:val="auto"/>
                <w:szCs w:val="24"/>
                <w:lang w:eastAsia="en-US"/>
              </w:rPr>
            </w:pPr>
            <w:r>
              <w:rPr>
                <w:rFonts w:eastAsia="Calibri"/>
                <w:bCs/>
                <w:color w:val="auto"/>
                <w:spacing w:val="-4"/>
                <w:szCs w:val="24"/>
                <w:lang w:eastAsia="en-US"/>
              </w:rPr>
              <w:t>взаимодействовать с коллегами, руководством, клиентами в ходе профессиональной деятельности</w:t>
            </w:r>
          </w:p>
          <w:p w14:paraId="0000029D">
            <w:pPr>
              <w:contextualSpacing w:val="on"/>
              <w:rPr/>
            </w:pPr>
          </w:p>
        </w:tc>
        <w:tc>
          <w:tcPr>
            <w:cnfStyle w:val="000000010000"/>
            <w:tcW w:w="3969" w:type="dxa"/>
            <w:tcBorders>
              <w:top w:val="single" w:color="000000" w:sz="4" w:space="0"/>
              <w:left w:val="single" w:color="000000" w:sz="4" w:space="0"/>
              <w:bottom w:val="single" w:color="000000" w:sz="4" w:space="0"/>
              <w:right w:val="single" w:color="000000" w:sz="4" w:space="0"/>
            </w:tcBorders>
          </w:tcPr>
          <w:p w14:paraId="0000029E">
            <w:pPr>
              <w:jc w:val="both"/>
              <w:rPr>
                <w:bCs/>
                <w:lang w:eastAsia="ar-SA"/>
              </w:rPr>
            </w:pPr>
            <w:r>
              <w:rPr>
                <w:bCs/>
                <w:lang w:eastAsia="ar-SA"/>
              </w:rPr>
              <w:t>- демонстрация навыков работы с нормативными правовыми актами, в т. ч. с использованием информационно-компьютерных технологий- решение практических ситуаций с нормативным правовым обоснованием;</w:t>
            </w:r>
          </w:p>
          <w:p w14:paraId="0000029F">
            <w:pPr>
              <w:jc w:val="both"/>
              <w:rPr>
                <w:lang w:eastAsia="ar-SA"/>
              </w:rPr>
            </w:pPr>
            <w:r>
              <w:rPr>
                <w:lang w:eastAsia="ar-SA"/>
              </w:rPr>
              <w:t>- умение применять теоретические знания для анализа конкретных процессов;</w:t>
            </w:r>
            <w:r>
              <w:rPr>
                <w:lang w:eastAsia="ar-SA"/>
              </w:rPr>
              <w:br w:type="textWrapping"/>
            </w:r>
            <w:r>
              <w:rPr>
                <w:lang w:eastAsia="ar-SA"/>
              </w:rPr>
              <w:t xml:space="preserve">- общий (культурный) и </w:t>
            </w:r>
            <w:r>
              <w:rPr>
                <w:lang w:eastAsia="ar-SA"/>
              </w:rPr>
              <w:t>специальный (профессиональный) язык ответа.</w:t>
            </w:r>
          </w:p>
          <w:p w14:paraId="000002A0">
            <w:pPr>
              <w:jc w:val="both"/>
              <w:rPr/>
            </w:pPr>
            <w:r>
              <w:rPr>
                <w:bCs/>
                <w:lang w:eastAsia="ar-SA"/>
              </w:rPr>
              <w:t>- демонстрация навыков работы с нормативными правовыми актами, в т. ч. с использованием информационно-компьютерных технологий- решение практических ситуаций с нормативным правовым обоснованием;</w:t>
            </w:r>
          </w:p>
        </w:tc>
        <w:tc>
          <w:tcPr>
            <w:cnfStyle w:val="000000010000"/>
            <w:tcW w:w="1843" w:type="dxa"/>
            <w:tcBorders>
              <w:top w:val="single" w:color="000000" w:sz="4" w:space="0"/>
              <w:left w:val="single" w:color="000000" w:sz="4" w:space="0"/>
              <w:bottom w:val="single" w:color="000000" w:sz="4" w:space="0"/>
              <w:right w:val="single" w:color="000000" w:sz="4" w:space="0"/>
            </w:tcBorders>
          </w:tcPr>
          <w:p w14:paraId="000002A1">
            <w:pPr>
              <w:contextualSpacing w:val="on"/>
              <w:rPr>
                <w:sz w:val="20"/>
              </w:rPr>
            </w:pPr>
            <w:r>
              <w:rPr>
                <w:sz w:val="20"/>
              </w:rPr>
              <w:t>практические контрольные задания (ПКЗ), включающие одну или несколько задач (вопросов) в виде краткой формулировки действий (комплекса действий), которые следует выполнить</w:t>
            </w:r>
          </w:p>
          <w:p w14:paraId="000002A2">
            <w:pPr>
              <w:contextualSpacing w:val="on"/>
              <w:rPr/>
            </w:pPr>
            <w:bookmarkStart w:id="1" w:name="_GoBack"/>
            <w:bookmarkEnd w:id="1"/>
          </w:p>
        </w:tc>
      </w:tr>
    </w:tbl>
    <w:p w14:paraId="000002A3">
      <w:pPr>
        <w:ind w:firstLine="708"/>
        <w:rPr>
          <w:szCs w:val="24"/>
        </w:rPr>
      </w:pPr>
    </w:p>
    <w:p w14:paraId="000002A4">
      <w:pPr>
        <w:ind w:firstLine="708"/>
        <w:rPr>
          <w:szCs w:val="24"/>
        </w:rPr>
      </w:pPr>
    </w:p>
    <w:p w14:paraId="000002A5">
      <w:pPr>
        <w:ind w:left="1080"/>
        <w:jc w:val="center"/>
        <w:rPr>
          <w:b/>
          <w:szCs w:val="24"/>
        </w:rPr>
      </w:pPr>
      <w:r>
        <w:rPr>
          <w:b/>
          <w:szCs w:val="24"/>
        </w:rPr>
        <w:t>Описание шкал оценивания</w:t>
      </w:r>
    </w:p>
    <w:p w14:paraId="000002A6">
      <w:pPr>
        <w:ind w:left="1080"/>
        <w:rPr>
          <w:b/>
          <w:szCs w:val="24"/>
        </w:rPr>
      </w:pPr>
    </w:p>
    <w:p w14:paraId="000002A7">
      <w:pPr>
        <w:ind w:left="1080"/>
        <w:rPr>
          <w:b/>
          <w:szCs w:val="24"/>
        </w:rPr>
      </w:pPr>
    </w:p>
    <w:tbl>
      <w:tblPr>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tblPr>
      <w:tblGrid>
        <w:gridCol w:w="2474"/>
        <w:gridCol w:w="6877"/>
      </w:tblGrid>
      <w:tr>
        <w:trPr/>
        <w:tc>
          <w:tcPr>
            <w:cnfStyle w:val="101000000000"/>
            <w:tcW w:w="2474" w:type="dxa"/>
          </w:tcPr>
          <w:p w14:paraId="000002A8">
            <w:pPr>
              <w:rPr>
                <w:szCs w:val="24"/>
              </w:rPr>
            </w:pPr>
            <w:r>
              <w:rPr>
                <w:szCs w:val="24"/>
              </w:rPr>
              <w:t>Зачтено</w:t>
            </w:r>
          </w:p>
        </w:tc>
        <w:tc>
          <w:tcPr>
            <w:cnfStyle w:val="100100000000"/>
            <w:tcW w:w="6877" w:type="dxa"/>
          </w:tcPr>
          <w:p w14:paraId="000002A9">
            <w:pPr>
              <w:jc w:val="both"/>
              <w:rPr>
                <w:szCs w:val="24"/>
              </w:rPr>
            </w:pPr>
            <w:r>
              <w:rPr>
                <w:szCs w:val="24"/>
              </w:rPr>
              <w:t>1) студент прочно усвоил предусмотренный программой материал;</w:t>
            </w:r>
          </w:p>
          <w:p w14:paraId="000002AA">
            <w:pPr>
              <w:jc w:val="both"/>
              <w:rPr>
                <w:szCs w:val="24"/>
              </w:rPr>
            </w:pPr>
            <w:r>
              <w:rPr>
                <w:szCs w:val="24"/>
              </w:rPr>
              <w:t>2) правильно ответил на вопросы, аргументировал ответ;</w:t>
            </w:r>
          </w:p>
          <w:p w14:paraId="000002AB">
            <w:pPr>
              <w:jc w:val="both"/>
              <w:rPr>
                <w:szCs w:val="24"/>
              </w:rPr>
            </w:pPr>
            <w:r>
              <w:rPr>
                <w:szCs w:val="24"/>
              </w:rPr>
              <w:t xml:space="preserve">Обязательным условием является правильная устная или </w:t>
            </w:r>
            <w:r>
              <w:rPr>
                <w:szCs w:val="24"/>
              </w:rPr>
              <w:t>письменная  речь</w:t>
            </w:r>
            <w:r>
              <w:rPr>
                <w:szCs w:val="24"/>
              </w:rPr>
              <w:t>.</w:t>
            </w:r>
          </w:p>
          <w:p w14:paraId="000002AC">
            <w:pPr>
              <w:jc w:val="both"/>
              <w:rPr>
                <w:szCs w:val="24"/>
              </w:rPr>
            </w:pPr>
            <w:r>
              <w:rPr>
                <w:szCs w:val="24"/>
              </w:rPr>
              <w:t>Учитывается систематическая активная работа на семинарских занятиях.</w:t>
            </w:r>
          </w:p>
        </w:tc>
      </w:tr>
      <w:tr>
        <w:trPr/>
        <w:tc>
          <w:tcPr>
            <w:cnfStyle w:val="011000000000"/>
            <w:tcW w:w="2474" w:type="dxa"/>
          </w:tcPr>
          <w:p w14:paraId="000002AD">
            <w:pPr>
              <w:rPr>
                <w:szCs w:val="24"/>
              </w:rPr>
            </w:pPr>
            <w:r>
              <w:rPr>
                <w:szCs w:val="24"/>
              </w:rPr>
              <w:t>Не зачтено</w:t>
            </w:r>
          </w:p>
        </w:tc>
        <w:tc>
          <w:tcPr>
            <w:cnfStyle w:val="010100000000"/>
            <w:tcW w:w="6877" w:type="dxa"/>
          </w:tcPr>
          <w:p w14:paraId="000002AE">
            <w:pPr>
              <w:jc w:val="both"/>
              <w:rPr>
                <w:szCs w:val="24"/>
              </w:rPr>
            </w:pPr>
            <w:r>
              <w:rPr>
                <w:szCs w:val="24"/>
              </w:rPr>
              <w:t>1) студент наполовину не справился с ответом на основные вопросы или задание по билету;</w:t>
            </w:r>
          </w:p>
          <w:p w14:paraId="000002AF">
            <w:pPr>
              <w:jc w:val="both"/>
              <w:rPr>
                <w:szCs w:val="24"/>
              </w:rPr>
            </w:pPr>
            <w:r>
              <w:rPr>
                <w:szCs w:val="24"/>
              </w:rPr>
              <w:t xml:space="preserve">2) допустил существенные ошибки или показал незнание </w:t>
            </w:r>
            <w:r>
              <w:rPr>
                <w:szCs w:val="24"/>
              </w:rPr>
              <w:t>при  ответе</w:t>
            </w:r>
            <w:r>
              <w:rPr>
                <w:szCs w:val="24"/>
              </w:rPr>
              <w:t xml:space="preserve"> на дополнительные вопросы.</w:t>
            </w:r>
          </w:p>
          <w:p w14:paraId="000002B0">
            <w:pPr>
              <w:jc w:val="both"/>
              <w:rPr>
                <w:szCs w:val="24"/>
              </w:rPr>
            </w:pPr>
            <w:r>
              <w:rPr>
                <w:szCs w:val="24"/>
              </w:rPr>
              <w:t>Низкое качество устной или письменной речи.</w:t>
            </w:r>
          </w:p>
        </w:tc>
      </w:tr>
    </w:tbl>
    <w:p w14:paraId="000002B1">
      <w:pPr>
        <w:rPr>
          <w:szCs w:val="24"/>
        </w:rPr>
      </w:pPr>
    </w:p>
    <w:p w14:paraId="000002B2">
      <w:pPr>
        <w:pStyle w:val="Normal(Web)"/>
        <w:rPr>
          <w:lang w:eastAsia="nl-NL"/>
        </w:rPr>
      </w:pPr>
    </w:p>
    <w:sectPr>
      <w:headerReference w:type="default" r:id="rId13"/>
      <w:headerReference w:type="even" r:id="rId14"/>
      <w:pgSz w:w="11900" w:h="16840"/>
      <w:pgMar w:top="1134" w:right="850" w:bottom="1134"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3">
      <w:r>
        <w:rPr/>
        <w:separator/>
      </w:r>
    </w:p>
  </w:endnote>
  <w:endnote w:type="continuationSeparator" w:id="1">
    <w:p w14:paraId="00000004">
      <w:r>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00000000" w:usb1="00000000" w:usb2="00000009" w:usb3="00000000" w:csb0="000001ff" w:csb1="00000000"/>
  </w:font>
  <w:font w:name="Symbol">
    <w:panose1 w:val="05050102010706020507"/>
    <w:charset w:val="02"/>
    <w:family w:val="decorative"/>
    <w:pitch w:val="variable"/>
    <w:sig w:usb0="00000000" w:usb1="10000000" w:usb2="00000000" w:usb3="00000000" w:csb0="00000000"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decorative"/>
    <w:pitch w:val="variable"/>
    <w:sig w:usb0="00000000" w:usb1="10000000" w:usb2="00000000" w:usb3="00000000" w:csb0="00000000" w:csb1="00000000"/>
  </w:font>
  <w:font w:name="Calibri">
    <w:panose1 w:val="020f0502020204030204"/>
    <w:charset w:val="00"/>
    <w:family w:val="swiss"/>
    <w:pitch w:val="variable"/>
    <w:sig w:usb0="00000000" w:usb1="00000000" w:usb2="00000009" w:usb3="00000000" w:csb0="000001ff" w:csb1="00000000"/>
  </w:font>
  <w:font w:name="Times New Roman Полужирный">
    <w:altName w:val="Times New Roman"/>
    <w:panose1 w:val="02020803070505020304"/>
    <w:charset w:val="00"/>
    <w:family w:val="roman"/>
    <w:notTrueType w:val="on"/>
    <w:pitch w:val="default"/>
  </w:font>
  <w:font w:name="Segoe UI">
    <w:altName w:val="Calibri"/>
    <w:panose1 w:val="020b0604020202020204"/>
    <w:charset w:val="cc"/>
    <w:family w:val="swiss"/>
    <w:pitch w:val="variable"/>
    <w:sig w:usb0="00000000" w:usb1="00000000" w:usb2="00000009" w:usb3="00000000" w:csb0="000001ff" w:csb1="00000000"/>
  </w:font>
  <w:font w:name="MS Mincho">
    <w:altName w:val="ＭＳ 明朝"/>
    <w:panose1 w:val="02020609040205080304"/>
    <w:charset w:val="80"/>
    <w:family w:val="modern"/>
    <w:pitch w:val="fixed"/>
    <w:sig w:usb0="00000000" w:usb1="6ac7fdfb" w:usb2="08000012" w:usb3="00000000" w:csb0="0002009f" w:csb1="00000000"/>
  </w:font>
  <w:font w:name="MS Gothic">
    <w:altName w:val="ＭＳ ゴシック"/>
    <w:panose1 w:val="020b0609070205080204"/>
    <w:charset w:val="80"/>
    <w:family w:val="modern"/>
    <w:pitch w:val="fixed"/>
    <w:sig w:usb0="00000000" w:usb1="6ac7fdfb" w:usb2="08000012" w:usb3="00000000" w:csb0="0002009f" w:csb1="00000000"/>
  </w:font>
  <w:font w:name="Calibri Light">
    <w:panose1 w:val="020f0302020204030204"/>
    <w:charset w:val="00"/>
    <w:family w:val="swiss"/>
    <w:pitch w:val="variable"/>
    <w:sig w:usb0="00000000" w:usb1="00000000" w:usb2="00000009" w:usb3="00000000" w:csb0="000001ff" w:csb1="00000000"/>
  </w:font>
  <w:font w:name="Arial">
    <w:panose1 w:val="020b0604020202020204"/>
    <w:charset w:val="00"/>
    <w:family w:val="swiss"/>
    <w:pitch w:val="variable"/>
    <w:sig w:usb0="20002a87" w:usb1="00000000" w:usb2="00000008" w:usb3="00000000" w:csb0="000001ff" w:csb1="00000000"/>
  </w:font>
  <w:font w:name="Cambria">
    <w:panose1 w:val="02040503050406030204"/>
    <w:charset w:val="00"/>
    <w:family w:val="roman"/>
    <w:pitch w:val="variable"/>
    <w:sig w:usb0="00000000" w:usb1="4000004b" w:usb2="00000000" w:usb3="00000000" w:csb0="0000009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Helvetica Neue">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r>
        <w:rPr/>
        <w:separator/>
      </w:r>
    </w:p>
  </w:footnote>
  <w:footnote w:type="continuationSeparator" w:id="1">
    <w:p w14:paraId="00000002">
      <w: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2B3">
    <w:pPr>
      <w:pStyle w:val="Header"/>
      <w:jc w:val="center"/>
      <w:rPr/>
    </w:pPr>
    <w:r>
      <w:fldChar w:fldCharType="begin"/>
    </w:r>
    <w:r>
      <w:instrText xml:space="preserve">PAGE </w:instrText>
    </w:r>
    <w:r>
      <w:fldChar w:fldCharType="separate"/>
    </w:r>
    <w:r>
      <w:t xml:space="preserve"> </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2B4">
    <w:pPr>
      <w:pStyle w:val="Header"/>
      <w:jc w:val="center"/>
      <w:rPr/>
    </w:pPr>
    <w:r>
      <w:fldChar w:fldCharType="begin"/>
    </w:r>
    <w:r>
      <w:instrText xml:space="preserve">PAGE </w:instrText>
    </w:r>
    <w:r>
      <w:fldChar w:fldCharType="separate"/>
    </w:r>
    <w:r>
      <w:t xml:space="preserve"> </w:t>
    </w:r>
    <w:r>
      <w:fldChar w:fldCharType="end"/>
    </w:r>
  </w:p>
  <w:p w14:paraId="000002B5">
    <w:pPr>
      <w:pStyle w:val="Header"/>
      <w:rP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multiLevelType w:val="multilevel"/>
    <w:lvl w:ilvl="0" w:tentative="0">
      <w:start w:val="1"/>
      <w:numFmt w:val="decimal"/>
      <w:lvlText w:val="%1."/>
      <w:lvlJc w:val="left"/>
      <w:pPr>
        <w:ind w:left="1080" w:hanging="360"/>
      </w:pPr>
      <w:rPr>
        <w:b w:val="off"/>
      </w:rPr>
    </w:lvl>
    <w:lvl w:ilvl="1" w:tentative="0">
      <w:start w:val="2"/>
      <w:numFmt w:val="decimal"/>
      <w:isLgl w:val="on"/>
      <w:lvlText w:val="%1.%2."/>
      <w:lvlJc w:val="left"/>
      <w:pPr>
        <w:ind w:left="1440" w:hanging="720"/>
      </w:pPr>
    </w:lvl>
    <w:lvl w:ilvl="2" w:tentative="0">
      <w:start w:val="1"/>
      <w:numFmt w:val="decimal"/>
      <w:isLgl w:val="on"/>
      <w:lvlText w:val="%1.%2.%3."/>
      <w:lvlJc w:val="left"/>
      <w:pPr>
        <w:ind w:left="1440" w:hanging="720"/>
      </w:pPr>
    </w:lvl>
    <w:lvl w:ilvl="3" w:tentative="0">
      <w:start w:val="1"/>
      <w:numFmt w:val="decimal"/>
      <w:isLgl w:val="on"/>
      <w:lvlText w:val="%1.%2.%3.%4."/>
      <w:lvlJc w:val="left"/>
      <w:pPr>
        <w:ind w:left="1800" w:hanging="1080"/>
      </w:pPr>
    </w:lvl>
    <w:lvl w:ilvl="4" w:tentative="0">
      <w:start w:val="1"/>
      <w:numFmt w:val="decimal"/>
      <w:isLgl w:val="on"/>
      <w:lvlText w:val="%1.%2.%3.%4.%5."/>
      <w:lvlJc w:val="left"/>
      <w:pPr>
        <w:ind w:left="1800" w:hanging="1080"/>
      </w:pPr>
    </w:lvl>
    <w:lvl w:ilvl="5" w:tentative="0">
      <w:start w:val="1"/>
      <w:numFmt w:val="decimal"/>
      <w:isLgl w:val="on"/>
      <w:lvlText w:val="%1.%2.%3.%4.%5.%6."/>
      <w:lvlJc w:val="left"/>
      <w:pPr>
        <w:ind w:left="2160" w:hanging="1440"/>
      </w:pPr>
    </w:lvl>
    <w:lvl w:ilvl="6" w:tentative="0">
      <w:start w:val="1"/>
      <w:numFmt w:val="decimal"/>
      <w:isLgl w:val="on"/>
      <w:lvlText w:val="%1.%2.%3.%4.%5.%6.%7."/>
      <w:lvlJc w:val="left"/>
      <w:pPr>
        <w:ind w:left="2520" w:hanging="1800"/>
      </w:pPr>
    </w:lvl>
    <w:lvl w:ilvl="7" w:tentative="0">
      <w:start w:val="1"/>
      <w:numFmt w:val="decimal"/>
      <w:isLgl w:val="on"/>
      <w:lvlText w:val="%1.%2.%3.%4.%5.%6.%7.%8."/>
      <w:lvlJc w:val="left"/>
      <w:pPr>
        <w:ind w:left="2520" w:hanging="1800"/>
      </w:pPr>
    </w:lvl>
    <w:lvl w:ilvl="8" w:tentative="0">
      <w:start w:val="1"/>
      <w:numFmt w:val="decimal"/>
      <w:isLgl w:val="on"/>
      <w:lvlText w:val="%1.%2.%3.%4.%5.%6.%7.%8.%9."/>
      <w:lvlJc w:val="left"/>
      <w:pPr>
        <w:ind w:left="2880" w:hanging="2160"/>
      </w:pPr>
    </w:lvl>
  </w:abstractNum>
  <w:abstractNum w:abstractNumId="3">
    <w:multiLevelType w:val="hybridMultilevel"/>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multiLevelType w:val="multilevel"/>
    <w:lvl w:ilvl="0" w:tentative="0">
      <w:start w:val="1"/>
      <w:numFmt w:val="decimal"/>
      <w:lvlText w:val="%1."/>
      <w:lvlJc w:val="left"/>
      <w:pPr>
        <w:ind w:left="720" w:hanging="360"/>
      </w:pPr>
      <w:rPr>
        <w:sz w:val="24"/>
      </w:rPr>
    </w:lvl>
    <w:lvl w:ilvl="1" w:tentative="0">
      <w:start w:val="1"/>
      <w:numFmt w:val="decimal"/>
      <w:isLgl w:val="on"/>
      <w:lvlText w:val="%1.%2."/>
      <w:lvlJc w:val="left"/>
      <w:pPr>
        <w:ind w:left="720" w:hanging="720"/>
      </w:pPr>
    </w:lvl>
    <w:lvl w:ilvl="2" w:tentative="0">
      <w:start w:val="1"/>
      <w:numFmt w:val="decimal"/>
      <w:isLgl w:val="on"/>
      <w:lvlText w:val="%1.%2.%3."/>
      <w:lvlJc w:val="left"/>
      <w:pPr>
        <w:ind w:left="1800" w:hanging="720"/>
      </w:pPr>
    </w:lvl>
    <w:lvl w:ilvl="3" w:tentative="0">
      <w:start w:val="1"/>
      <w:numFmt w:val="decimal"/>
      <w:isLgl w:val="on"/>
      <w:lvlText w:val="%1.%2.%3.%4."/>
      <w:lvlJc w:val="left"/>
      <w:pPr>
        <w:ind w:left="2520" w:hanging="1080"/>
      </w:pPr>
    </w:lvl>
    <w:lvl w:ilvl="4" w:tentative="0">
      <w:start w:val="1"/>
      <w:numFmt w:val="decimal"/>
      <w:isLgl w:val="on"/>
      <w:lvlText w:val="%1.%2.%3.%4.%5."/>
      <w:lvlJc w:val="left"/>
      <w:pPr>
        <w:ind w:left="2880" w:hanging="1080"/>
      </w:pPr>
    </w:lvl>
    <w:lvl w:ilvl="5" w:tentative="0">
      <w:start w:val="1"/>
      <w:numFmt w:val="decimal"/>
      <w:isLgl w:val="on"/>
      <w:lvlText w:val="%1.%2.%3.%4.%5.%6."/>
      <w:lvlJc w:val="left"/>
      <w:pPr>
        <w:ind w:left="3600" w:hanging="1440"/>
      </w:pPr>
    </w:lvl>
    <w:lvl w:ilvl="6" w:tentative="0">
      <w:start w:val="1"/>
      <w:numFmt w:val="decimal"/>
      <w:isLgl w:val="on"/>
      <w:lvlText w:val="%1.%2.%3.%4.%5.%6.%7."/>
      <w:lvlJc w:val="left"/>
      <w:pPr>
        <w:ind w:left="4320" w:hanging="1800"/>
      </w:pPr>
    </w:lvl>
    <w:lvl w:ilvl="7" w:tentative="0">
      <w:start w:val="1"/>
      <w:numFmt w:val="decimal"/>
      <w:isLgl w:val="on"/>
      <w:lvlText w:val="%1.%2.%3.%4.%5.%6.%7.%8."/>
      <w:lvlJc w:val="left"/>
      <w:pPr>
        <w:ind w:left="4680" w:hanging="1800"/>
      </w:pPr>
    </w:lvl>
    <w:lvl w:ilvl="8" w:tentative="0">
      <w:start w:val="1"/>
      <w:numFmt w:val="decimal"/>
      <w:isLgl w:val="on"/>
      <w:lvlText w:val="%1.%2.%3.%4.%5.%6.%7.%8.%9."/>
      <w:lvlJc w:val="left"/>
      <w:pPr>
        <w:ind w:left="5400" w:hanging="2160"/>
      </w:pPr>
    </w:lvl>
  </w:abstractNum>
  <w:abstractNum w:abstractNumId="5">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7">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C69"/>
    <w:rsid w:val="00027C69"/>
    <w:rsid w:val="00044369"/>
    <w:rsid w:val="00200034"/>
    <w:rsid w:val="0021525A"/>
    <w:rsid w:val="00215CCE"/>
    <w:rsid w:val="00254D94"/>
    <w:rsid w:val="003A0F7E"/>
    <w:rsid w:val="004E7491"/>
    <w:rsid w:val="0064624B"/>
    <w:rsid w:val="006D0FC2"/>
    <w:rsid w:val="008D0998"/>
    <w:rsid w:val="008E4B98"/>
    <w:rsid w:val="00CE5B61"/>
    <w:rsid w:val="00EF4184"/>
    <w:rsid w:val="00FA19A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17D7C0CE"/>
  <w15:chartTrackingRefBased/>
  <w15:docId w15:val="{C2053C1E-3779-964C-B714-A639EE7F2E39}"/>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4"/>
        <w:szCs w:val="24"/>
        <w:lang w:val="ru-RU" w:bidi="ar-SA" w:eastAsia="en-US"/>
      </w:rPr>
    </w:rPrDefault>
    <w:pPrDefault/>
  </w:docDefaults>
  <w:style w:type="paragraph" w:styleId="Heading2">
    <w:name w:val="Heading 2"/>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customStyle="1" w:styleId="Heading1Char">
    <w:name w:val="Heading 1 Char"/>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link w:val="Title"/>
    <w:uiPriority w:val="10"/>
    <w:rPr>
      <w:rFonts w:asciiTheme="majorHAnsi" w:cstheme="majorBidi" w:eastAsiaTheme="majorEastAsia" w:hAnsiTheme="majorHAnsi"/>
      <w:color w:val="333f4f" w:themeColor="text2" w:themeShade="bf"/>
      <w:spacing w:val="5"/>
      <w:sz w:val="52"/>
      <w:szCs w:val="52"/>
    </w:rPr>
  </w:style>
  <w:style w:type="character" w:customStyle="1" w:styleId="SubtitleChar">
    <w:name w:val="Subtitle Char"/>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uiPriority w:val="19"/>
    <w:qFormat w:val="on"/>
    <w:rPr>
      <w:i/>
      <w:iCs/>
      <w:color w:val="808080" w:themeColor="text1" w:themeTint="7f"/>
    </w:rPr>
  </w:style>
  <w:style w:type="character" w:styleId="IntenseEmphasis">
    <w:name w:val="Intense Emphasis"/>
    <w:uiPriority w:val="21"/>
    <w:qFormat w:val="on"/>
    <w:rPr>
      <w:b/>
      <w:bCs/>
      <w:i/>
      <w:iCs/>
      <w:color w:val="4472c4" w:themeColor="accent1"/>
    </w:rPr>
  </w:style>
  <w:style w:type="character" w:styleId="Strong">
    <w:name w:val="Strong"/>
    <w:uiPriority w:val="22"/>
    <w:qFormat w:val="on"/>
    <w:rPr>
      <w:b/>
      <w:bCs/>
    </w:rPr>
  </w:style>
  <w:style w:type="paragraph" w:styleId="Quote">
    <w:name w:val="Quote"/>
    <w:link w:val="QuoteChar"/>
    <w:uiPriority w:val="29"/>
    <w:qFormat w:val="on"/>
    <w:rPr>
      <w:i/>
      <w:iCs/>
      <w:color w:val="000000" w:themeColor="text1"/>
    </w:rPr>
  </w:style>
  <w:style w:type="character" w:customStyle="1" w:styleId="QuoteChar">
    <w:name w:val="Quote Char"/>
    <w:link w:val="Quote"/>
    <w:uiPriority w:val="29"/>
    <w:rPr>
      <w:i/>
      <w:iCs/>
      <w:color w:val="000000" w:themeColor="text1"/>
    </w:rPr>
  </w:style>
  <w:style w:type="paragraph" w:styleId="IntenseQuote">
    <w:name w:val="Intense Quote"/>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link w:val="IntenseQuote"/>
    <w:uiPriority w:val="30"/>
    <w:rPr>
      <w:b/>
      <w:bCs/>
      <w:i/>
      <w:iCs/>
      <w:color w:val="4472c4" w:themeColor="accent1"/>
    </w:rPr>
  </w:style>
  <w:style w:type="character" w:styleId="SubtleReference">
    <w:name w:val="Subtle Reference"/>
    <w:uiPriority w:val="31"/>
    <w:qFormat w:val="on"/>
    <w:rPr>
      <w:smallCaps/>
      <w:color w:val="ed7d31" w:themeColor="accent2"/>
      <w:u w:val="single"/>
    </w:rPr>
  </w:style>
  <w:style w:type="character" w:styleId="IntenseReference">
    <w:name w:val="Intense Reference"/>
    <w:uiPriority w:val="32"/>
    <w:qFormat w:val="on"/>
    <w:rPr>
      <w:b/>
      <w:bCs/>
      <w:smallCaps/>
      <w:color w:val="ed7d31" w:themeColor="accent2"/>
      <w:spacing w:val="5"/>
      <w:u w:val="single"/>
    </w:rPr>
  </w:style>
  <w:style w:type="character" w:styleId="BookTitle">
    <w:name w:val="Book Title"/>
    <w:uiPriority w:val="33"/>
    <w:qFormat w:val="on"/>
    <w:rPr>
      <w:b/>
      <w:bCs/>
      <w:smallCaps/>
      <w:spacing w:val="5"/>
    </w:rPr>
  </w:style>
  <w:style w:type="character" w:customStyle="1" w:styleId="FootnoteTextChar">
    <w:name w:val="Footnote Text Char"/>
    <w:uiPriority w:val="99"/>
    <w:semiHidden w:val="on"/>
    <w:rPr>
      <w:sz w:val="20"/>
      <w:szCs w:val="20"/>
    </w:rPr>
  </w:style>
  <w:style w:type="paragraph" w:styleId="Endnotetext">
    <w:name w:val="Endnote text"/>
    <w:link w:val="EndnoteTextChar"/>
    <w:uiPriority w:val="99"/>
    <w:semiHidden w:val="on"/>
    <w:unhideWhenUsed w:val="on"/>
    <w:pPr>
      <w:spacing w:after="0" w:line="240" w:lineRule="auto"/>
    </w:pPr>
    <w:rPr>
      <w:sz w:val="20"/>
      <w:szCs w:val="20"/>
    </w:rPr>
  </w:style>
  <w:style w:type="character" w:customStyle="1" w:styleId="EndnoteTextChar">
    <w:name w:val="Endnote Text Char"/>
    <w:link w:val="Endnotetext"/>
    <w:uiPriority w:val="99"/>
    <w:semiHidden w:val="on"/>
    <w:rPr>
      <w:sz w:val="20"/>
      <w:szCs w:val="20"/>
    </w:rPr>
  </w:style>
  <w:style w:type="character" w:styleId="Endnotereference">
    <w:name w:val="Endnote reference"/>
    <w:uiPriority w:val="99"/>
    <w:semiHidden w:val="on"/>
    <w:unhideWhenUsed w:val="on"/>
    <w:rPr>
      <w:vertAlign w:val="superscript"/>
    </w:rPr>
  </w:style>
  <w:style w:type="character" w:styleId="FollowedHyperlink">
    <w:name w:val="FollowedHyperlink"/>
    <w:uiPriority w:val="99"/>
    <w:semiHidden w:val="on"/>
    <w:unhideWhenUsed w:val="on"/>
    <w:rPr>
      <w:color w:val="954f72" w:themeColor="followedHyperlink"/>
      <w:u w:val="single"/>
    </w:rPr>
  </w:style>
  <w:style w:type="paragraph" w:styleId="PlainText">
    <w:name w:val="Plain Text"/>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link w:val="PlainText"/>
    <w:uiPriority w:val="99"/>
    <w:rPr>
      <w:rFonts w:ascii="Courier New" w:cs="Courier New" w:hAnsi="Courier New"/>
      <w:sz w:val="21"/>
      <w:szCs w:val="21"/>
    </w:rPr>
  </w:style>
  <w:style w:type="character" w:customStyle="1" w:styleId="HeaderChar">
    <w:name w:val="Header Char"/>
    <w:uiPriority w:val="99"/>
  </w:style>
  <w:style w:type="paragraph" w:styleId="Footer">
    <w:name w:val="Footer"/>
    <w:link w:val="FooterChar"/>
    <w:uiPriority w:val="99"/>
    <w:unhideWhenUsed w:val="on"/>
    <w:pPr>
      <w:spacing w:after="0" w:line="240" w:lineRule="auto"/>
    </w:pPr>
  </w:style>
  <w:style w:type="character" w:customStyle="1" w:styleId="FooterChar">
    <w:name w:val="Footer Char"/>
    <w:link w:val="Footer"/>
    <w:uiPriority w:val="99"/>
  </w:style>
  <w:style w:type="paragraph" w:styleId="Caption">
    <w:name w:val="Caption"/>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rPr>
      <w:rFonts w:ascii="Times New Roman" w:cs="Times New Roman" w:eastAsia="Times New Roman" w:hAnsi="Times New Roman"/>
      <w:color w:val="000000"/>
      <w:szCs w:val="20"/>
      <w:lang w:eastAsia="ru-RU"/>
    </w:rPr>
  </w:style>
  <w:style w:type="paragraph" w:styleId="Heading1">
    <w:name w:val="Heading 1"/>
    <w:basedOn w:val="Normal"/>
    <w:link w:val="Заголовок1Знак"/>
    <w:uiPriority w:val="9"/>
    <w:qFormat w:val="on"/>
    <w:pPr>
      <w:spacing w:before="100" w:after="100"/>
      <w:jc w:val="center"/>
    </w:pPr>
    <w:rPr>
      <w:b/>
      <w:bCs/>
      <w:color w:val="auto"/>
      <w:szCs w:val="24"/>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customStyle="1" w:styleId="Знаксноски1">
    <w:name w:val="Знак сноски1"/>
    <w:basedOn w:val="Normal"/>
    <w:link w:val="Footnotereference"/>
    <w:uiPriority w:val="99"/>
    <w:qFormat w:val="on"/>
    <w:rPr>
      <w:vertAlign w:val="superscript"/>
    </w:rPr>
  </w:style>
  <w:style w:type="paragraph" w:styleId="Footnotetext">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Normal"/>
    <w:link w:val="ТекстсноскиЗнак"/>
    <w:uiPriority w:val="99"/>
    <w:qFormat w:val="on"/>
    <w:rPr>
      <w:color w:val="auto"/>
      <w:sz w:val="20"/>
    </w:rPr>
  </w:style>
  <w:style w:type="character" w:customStyle="1" w:styleId="ТекстсноскиЗнак">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DefaultParagraphFont"/>
    <w:link w:val="Footnotetext"/>
    <w:uiPriority w:val="99"/>
    <w:qFormat w:val="on"/>
    <w:rPr>
      <w:rFonts w:ascii="Times New Roman" w:cs="Times New Roman" w:eastAsia="Times New Roman" w:hAnsi="Times New Roman"/>
      <w:sz w:val="20"/>
      <w:szCs w:val="20"/>
    </w:rPr>
  </w:style>
  <w:style w:type="character" w:styleId="Footnotereference">
    <w:name w:val="Footnote reference"/>
    <w:aliases w:val="Знак сноски-FN,Ciae niinee-FN,AЗнак сноски зел"/>
    <w:link w:val="Знаксноски1"/>
    <w:uiPriority w:val="99"/>
    <w:rPr>
      <w:rFonts w:ascii="Times New Roman" w:cs="Times New Roman" w:eastAsia="Times New Roman" w:hAnsi="Times New Roman"/>
      <w:color w:val="000000"/>
      <w:szCs w:val="20"/>
      <w:vertAlign w:val="superscript"/>
      <w:lang w:eastAsia="ru-RU"/>
    </w:rPr>
  </w:style>
  <w:style w:type="character" w:customStyle="1" w:styleId="Заголовок1Знак">
    <w:name w:val="Заголовок 1 Знак"/>
    <w:basedOn w:val="DefaultParagraphFont"/>
    <w:link w:val="Heading1"/>
    <w:uiPriority w:val="9"/>
    <w:rPr>
      <w:rFonts w:ascii="Times New Roman" w:cs="Times New Roman" w:eastAsia="Times New Roman" w:hAnsi="Times New Roman"/>
      <w:b/>
      <w:bCs/>
      <w:lang w:eastAsia="ru-RU"/>
    </w:rPr>
  </w:style>
  <w:style w:type="paragraph" w:styleId="ListParagraph">
    <w:name w:val="List Paragraph"/>
    <w:aliases w:val="Этапы,Содержание. 2 уровень,подтабл,Bullet List,FooterText,numbered,Paragraphe de liste1,lp1,Use Case List Paragraph,Маркер,ТЗ список,Абзац списка литеральный,Bulletr List Paragraph,1 Абзац списка,Обычный-1"/>
    <w:basedOn w:val="Normal"/>
    <w:link w:val="АбзацспискаЗнак"/>
    <w:uiPriority w:val="99"/>
    <w:qFormat w:val="on"/>
    <w:pPr>
      <w:ind w:left="720"/>
      <w:contextualSpacing w:val="on"/>
    </w:pPr>
    <w:rPr>
      <w:rFonts w:asciiTheme="minorHAnsi" w:cstheme="minorBidi" w:eastAsiaTheme="minorHAnsi" w:hAnsiTheme="minorHAnsi"/>
      <w:color w:val="auto"/>
      <w:sz w:val="22"/>
      <w:szCs w:val="22"/>
      <w:lang w:eastAsia="en-US"/>
    </w:rPr>
  </w:style>
  <w:style w:type="paragraph" w:styleId="Header">
    <w:name w:val="Header"/>
    <w:basedOn w:val="Normal"/>
    <w:link w:val="ВерхнийколонтитулЗнак"/>
    <w:uiPriority w:val="99"/>
    <w:unhideWhenUsed w:val="on"/>
    <w:pPr>
      <w:tabs>
        <w:tab w:val="center" w:pos="4677"/>
        <w:tab w:val="right" w:pos="9355"/>
      </w:tabs>
    </w:pPr>
    <w:rPr>
      <w:rFonts w:asciiTheme="minorHAnsi" w:cstheme="minorBidi" w:eastAsiaTheme="minorHAnsi" w:hAnsiTheme="minorHAnsi"/>
      <w:color w:val="auto"/>
      <w:sz w:val="22"/>
      <w:szCs w:val="22"/>
      <w:lang w:eastAsia="en-US"/>
    </w:rPr>
  </w:style>
  <w:style w:type="character" w:customStyle="1" w:styleId="ВерхнийколонтитулЗнак">
    <w:name w:val="Верхний колонтитул Знак"/>
    <w:basedOn w:val="DefaultParagraphFont"/>
    <w:link w:val="Header"/>
    <w:uiPriority w:val="99"/>
    <w:rPr>
      <w:sz w:val="22"/>
      <w:szCs w:val="22"/>
    </w:rPr>
  </w:style>
  <w:style w:type="character" w:styleId="Hyperlink">
    <w:name w:val="Hyperlink"/>
    <w:basedOn w:val="DefaultParagraphFont"/>
    <w:link w:val="Гиперссылка2"/>
    <w:uiPriority w:val="99"/>
    <w:unhideWhenUsed w:val="on"/>
    <w:rPr>
      <w:color w:val="0563c1" w:themeColor="hyperlink"/>
      <w:u w:val="single"/>
    </w:rPr>
  </w:style>
  <w:style w:type="character" w:customStyle="1" w:styleId="АбзацспискаЗнак">
    <w:name w:val="Абзац списка Знак"/>
    <w:aliases w:val="Этапы Знак,Содержание. 2 уровень Знак,List Paragraph Знак,подтабл Знак,Bullet List Знак,FooterText Знак,numbered Знак,Paragraphe de liste1 Знак,lp1 Знак,Use Case List Paragraph Знак,Маркер Знак,ТЗ список Знак,Bulletr List Paragraph Знак"/>
    <w:link w:val="ListParagraph"/>
    <w:uiPriority w:val="99"/>
    <w:qFormat w:val="on"/>
    <w:rPr>
      <w:sz w:val="22"/>
      <w:szCs w:val="22"/>
    </w:rPr>
  </w:style>
  <w:style w:type="paragraph" w:styleId="Toc1">
    <w:name w:val="Toc 1"/>
    <w:basedOn w:val="Normal"/>
    <w:next w:val="Normal"/>
    <w:link w:val="Оглавление1Знак"/>
    <w:uiPriority w:val="39"/>
    <w:unhideWhenUsed w:val="on"/>
    <w:pPr>
      <w:tabs>
        <w:tab w:val="right" w:leader="dot" w:pos="9639"/>
      </w:tabs>
      <w:spacing w:before="120" w:line="276" w:lineRule="auto"/>
    </w:pPr>
    <w:rPr>
      <w:rFonts w:eastAsiaTheme="minorHAnsi"/>
      <w:b/>
      <w:bCs/>
      <w:color w:val="auto"/>
      <w:sz w:val="22"/>
      <w:szCs w:val="22"/>
      <w:lang w:eastAsia="en-US"/>
    </w:rPr>
  </w:style>
  <w:style w:type="character" w:styleId="Emphasis">
    <w:name w:val="Emphasis"/>
    <w:link w:val="Выделение1"/>
    <w:uiPriority w:val="99"/>
    <w:qFormat w:val="on"/>
    <w:rPr>
      <w:rFonts w:ascii="Times New Roman" w:cs="Times New Roman" w:hAnsi="Times New Roman"/>
      <w:i/>
    </w:rPr>
  </w:style>
  <w:style w:type="paragraph" w:styleId="Toc2">
    <w:name w:val="Toc 2"/>
    <w:basedOn w:val="Normal"/>
    <w:next w:val="Normal"/>
    <w:link w:val="Оглавление2Знак"/>
    <w:uiPriority w:val="39"/>
    <w:unhideWhenUsed w:val="on"/>
    <w:pPr>
      <w:tabs>
        <w:tab w:val="right" w:leader="dot" w:pos="9639"/>
      </w:tabs>
      <w:spacing w:before="120"/>
      <w:ind w:left="240"/>
    </w:pPr>
    <w:rPr>
      <w:i/>
      <w:iCs/>
      <w:color w:val="auto"/>
      <w:szCs w:val="24"/>
    </w:rPr>
  </w:style>
  <w:style w:type="paragraph" w:customStyle="1" w:styleId="Обычный(веб)1">
    <w:name w:val="Обычный (веб)1"/>
    <w:basedOn w:val="Normal"/>
    <w:next w:val="Normal(Web)"/>
    <w:uiPriority w:val="99"/>
    <w:qFormat w:val="on"/>
    <w:pPr>
      <w:widowControl w:val="off"/>
    </w:pPr>
    <w:rPr>
      <w:color w:val="auto"/>
      <w:szCs w:val="24"/>
      <w:lang w:val="en-US" w:eastAsia="nl-NL"/>
    </w:rPr>
  </w:style>
  <w:style w:type="paragraph" w:customStyle="1" w:styleId="Раздел1">
    <w:name w:val="Раздел 1"/>
    <w:basedOn w:val="Heading1"/>
    <w:link w:val="Раздел1Знак"/>
    <w:uiPriority w:val="99"/>
    <w:qFormat w:val="on"/>
    <w:pPr>
      <w:keepNext w:val="on"/>
      <w:spacing w:before="0" w:after="120"/>
    </w:pPr>
    <w:rPr>
      <w:rFonts w:ascii="Times New Roman Полужирный" w:eastAsia="Segoe UI" w:hAnsi="Times New Roman Полужирный"/>
      <w:caps/>
    </w:rPr>
  </w:style>
  <w:style w:type="paragraph" w:customStyle="1" w:styleId="Раздел1.1">
    <w:name w:val="Раздел 1.1"/>
    <w:basedOn w:val="Subtitle"/>
    <w:link w:val="Раздел1.1Знак"/>
    <w:uiPriority w:val="99"/>
    <w:qFormat w:val="on"/>
    <w:pPr>
      <w:numPr>
        <w:ilvl w:val="0"/>
        <w:numId w:val="0"/>
      </w:numPr>
      <w:spacing w:after="120" w:line="276" w:lineRule="auto"/>
      <w:ind w:firstLine="709"/>
    </w:pPr>
    <w:rPr>
      <w:rFonts w:ascii="Times New Roman Полужирный" w:cs="Times New Roman" w:eastAsia="Segoe UI" w:hAnsi="Times New Roman Полужирный"/>
      <w:b/>
      <w:bCs/>
    </w:rPr>
  </w:style>
  <w:style w:type="character" w:customStyle="1" w:styleId="Раздел1Знак">
    <w:name w:val="Раздел 1 Знак"/>
    <w:basedOn w:val="Заголовок1Знак"/>
    <w:link w:val="Раздел1"/>
    <w:uiPriority w:val="99"/>
    <w:rPr>
      <w:rFonts w:ascii="Times New Roman Полужирный" w:cs="Times New Roman" w:eastAsia="Segoe UI" w:hAnsi="Times New Roman Полужирный"/>
      <w:b/>
      <w:bCs/>
      <w:caps/>
    </w:rPr>
  </w:style>
  <w:style w:type="character" w:customStyle="1" w:styleId="Раздел1.1Знак">
    <w:name w:val="Раздел 1.1 Знак"/>
    <w:basedOn w:val="ПодзаголовокЗнак"/>
    <w:link w:val="Раздел1.1"/>
    <w:uiPriority w:val="99"/>
    <w:rPr>
      <w:rFonts w:ascii="Times New Roman Полужирный" w:cs="Times New Roman" w:eastAsia="Segoe UI" w:hAnsi="Times New Roman Полужирный"/>
      <w:b/>
      <w:bCs/>
      <w:color w:val="5a5a5a" w:themeColor="text1" w:themeTint="a5"/>
      <w:spacing w:val="15"/>
      <w:sz w:val="22"/>
      <w:szCs w:val="22"/>
      <w:lang w:eastAsia="ru-RU"/>
    </w:rPr>
  </w:style>
  <w:style w:type="character" w:customStyle="1" w:styleId="Оглавление2Знак">
    <w:name w:val="Оглавление 2 Знак"/>
    <w:basedOn w:val="DefaultParagraphFont"/>
    <w:link w:val="Toc2"/>
    <w:uiPriority w:val="39"/>
    <w:rPr>
      <w:rFonts w:ascii="Times New Roman" w:cs="Times New Roman" w:eastAsia="Times New Roman" w:hAnsi="Times New Roman"/>
      <w:i/>
      <w:iCs/>
      <w:lang w:eastAsia="ru-RU"/>
    </w:rPr>
  </w:style>
  <w:style w:type="paragraph" w:customStyle="1" w:styleId="Гиперссылка2">
    <w:name w:val="Гиперссылка2"/>
    <w:basedOn w:val="Normal"/>
    <w:link w:val="Hyperlink"/>
    <w:uiPriority w:val="99"/>
    <w:rPr>
      <w:rFonts w:asciiTheme="minorHAnsi" w:cstheme="minorBidi" w:eastAsiaTheme="minorHAnsi" w:hAnsiTheme="minorHAnsi"/>
      <w:color w:val="0563c1" w:themeColor="hyperlink"/>
      <w:szCs w:val="24"/>
      <w:u w:val="single"/>
      <w:lang w:eastAsia="en-US"/>
    </w:rPr>
  </w:style>
  <w:style w:type="paragraph" w:customStyle="1" w:styleId="Footnote">
    <w:name w:val="Footnote"/>
    <w:basedOn w:val="Normal"/>
    <w:uiPriority w:val="99"/>
    <w:rPr>
      <w:sz w:val="20"/>
    </w:rPr>
  </w:style>
  <w:style w:type="character" w:customStyle="1" w:styleId="Оглавление1Знак">
    <w:name w:val="Оглавление 1 Знак"/>
    <w:basedOn w:val="DefaultParagraphFont"/>
    <w:link w:val="Toc1"/>
    <w:uiPriority w:val="39"/>
    <w:rPr>
      <w:rFonts w:ascii="Times New Roman" w:cs="Times New Roman" w:hAnsi="Times New Roman"/>
      <w:b/>
      <w:bCs/>
      <w:sz w:val="22"/>
      <w:szCs w:val="22"/>
    </w:rPr>
  </w:style>
  <w:style w:type="paragraph" w:customStyle="1" w:styleId="Выделение1">
    <w:name w:val="Выделение1"/>
    <w:link w:val="Emphasis"/>
    <w:uiPriority w:val="99"/>
    <w:rPr>
      <w:rFonts w:ascii="Times New Roman" w:cs="Times New Roman" w:hAnsi="Times New Roman"/>
      <w:i/>
    </w:rPr>
  </w:style>
  <w:style w:type="paragraph" w:styleId="Normal(Web)">
    <w:name w:val="Normal (Web)"/>
    <w:basedOn w:val="Normal"/>
    <w:uiPriority w:val="99"/>
    <w:semiHidden w:val="on"/>
    <w:unhideWhenUsed w:val="on"/>
    <w:rPr>
      <w:szCs w:val="24"/>
    </w:rPr>
  </w:style>
  <w:style w:type="paragraph" w:styleId="Subtitle">
    <w:name w:val="Subtitle"/>
    <w:basedOn w:val="Normal"/>
    <w:next w:val="Normal"/>
    <w:link w:val="ПодзаголовокЗнак"/>
    <w:uiPriority w:val="11"/>
    <w:qFormat w:val="on"/>
    <w:pPr>
      <w:spacing w:after="160"/>
    </w:pPr>
    <w:rPr>
      <w:rFonts w:asciiTheme="minorHAnsi" w:cstheme="minorBidi" w:eastAsiaTheme="minorEastAsia" w:hAnsiTheme="minorHAnsi"/>
      <w:color w:val="5a5a5a" w:themeColor="text1" w:themeTint="a5"/>
      <w:spacing w:val="15"/>
      <w:sz w:val="22"/>
      <w:szCs w:val="22"/>
    </w:rPr>
  </w:style>
  <w:style w:type="character" w:customStyle="1" w:styleId="ПодзаголовокЗнак">
    <w:name w:val="Подзаголовок Знак"/>
    <w:basedOn w:val="DefaultParagraphFont"/>
    <w:link w:val="Subtitle"/>
    <w:uiPriority w:val="11"/>
    <w:rPr>
      <w:rFonts w:eastAsiaTheme="minorEastAsia"/>
      <w:color w:val="5a5a5a" w:themeColor="text1" w:themeTint="a5"/>
      <w:spacing w:val="15"/>
      <w:sz w:val="22"/>
      <w:szCs w:val="22"/>
      <w:lang w:eastAsia="ru-RU"/>
    </w:rPr>
  </w:style>
  <w:style w:type="paragraph" w:styleId="BodyTextIndent2">
    <w:name w:val="Body Text Indent 2"/>
    <w:basedOn w:val="Normal"/>
    <w:link w:val="Основнойтекстсотступом2Знак"/>
    <w:uiPriority w:val="99"/>
    <w:semiHidden w:val="on"/>
    <w:unhideWhenUsed w:val="on"/>
    <w:pPr>
      <w:ind w:firstLine="709"/>
      <w:jc w:val="both"/>
    </w:pPr>
  </w:style>
  <w:style w:type="character" w:customStyle="1" w:styleId="Основнойтекстсотступом2Знак">
    <w:name w:val="Основной текст с отступом 2 Знак"/>
    <w:basedOn w:val="DefaultParagraphFont"/>
    <w:link w:val="BodyTextIndent2"/>
    <w:uiPriority w:val="99"/>
    <w:semiHidden w:val="on"/>
    <w:rPr>
      <w:rFonts w:ascii="Times New Roman" w:cs="Times New Roman" w:eastAsia="Times New Roman" w:hAnsi="Times New Roman"/>
      <w:color w:val="000000"/>
      <w:szCs w:val="20"/>
      <w:lang w:eastAsia="ru-RU"/>
    </w:rPr>
  </w:style>
  <w:style w:type="paragraph" w:styleId="NoSpacing">
    <w:name w:val="No Spacing"/>
    <w:uiPriority w:val="99"/>
    <w:qFormat w:val="on"/>
    <w:rPr>
      <w:rFonts w:ascii="Calibri" w:cs="Times New Roman" w:eastAsia="Times New Roman" w:hAnsi="Calibri"/>
      <w:sz w:val="22"/>
      <w:szCs w:val="22"/>
      <w:lang w:eastAsia="ru-RU"/>
    </w:rPr>
  </w:style>
  <w:style w:type="paragraph" w:styleId="BodyText2">
    <w:name w:val="Body Text 2"/>
    <w:basedOn w:val="Normal"/>
    <w:link w:val="Основнойтекст2Знак"/>
    <w:uiPriority w:val="99"/>
    <w:unhideWhenUsed w:val="on"/>
    <w:pPr>
      <w:spacing w:after="120" w:line="480" w:lineRule="auto"/>
    </w:pPr>
    <w:rPr>
      <w:rFonts w:ascii="Calibri" w:hAnsi="Calibri"/>
      <w:color w:val="auto"/>
      <w:sz w:val="22"/>
      <w:szCs w:val="22"/>
    </w:rPr>
  </w:style>
  <w:style w:type="character" w:customStyle="1" w:styleId="Основнойтекст2Знак">
    <w:name w:val="Основной текст 2 Знак"/>
    <w:basedOn w:val="DefaultParagraphFont"/>
    <w:link w:val="BodyText2"/>
    <w:uiPriority w:val="99"/>
    <w:rPr>
      <w:rFonts w:ascii="Calibri" w:cs="Times New Roman" w:eastAsia="Times New Roman" w:hAnsi="Calibri"/>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10" Type="http://schemas.openxmlformats.org/officeDocument/2006/relationships/theme" Target="theme/theme1.xml"/><Relationship Id="rId13" Type="http://schemas.openxmlformats.org/officeDocument/2006/relationships/header" Target="header1.xml"/><Relationship Id="rId14" Type="http://schemas.openxmlformats.org/officeDocument/2006/relationships/header" Target="header2.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otnotes" Target="footnotes.xml"/><Relationship Id="rId6" Type="http://schemas.openxmlformats.org/officeDocument/2006/relationships/endnotes" Target="endnotes.xml"/><Relationship Id="rId9" Type="http://schemas.openxmlformats.org/officeDocument/2006/relationships/fontTable" Target="fontTable.xml"/><Relationship Id="rId4"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header2.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panose="020F0502020204030204"/>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22</Pages>
  <Words>5438</Words>
  <Characters>31001</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Microsoft Office</dc:creator>
  <cp:lastModifiedBy>Наталья Вороновна</cp:lastModifiedBy>
</cp:coreProperties>
</file>